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39" w:line="295" w:lineRule="auto"/>
        <w:ind w:left="2105" w:right="422" w:hanging="1864"/>
        <w:jc w:val="center"/>
        <w:rPr>
          <w:rFonts w:ascii="宋体" w:hAnsi="宋体" w:eastAsia="宋体" w:cs="宋体"/>
          <w:spacing w:val="-2"/>
          <w:sz w:val="43"/>
          <w:szCs w:val="43"/>
        </w:rPr>
      </w:pPr>
      <w:r>
        <w:rPr>
          <w:rFonts w:hint="eastAsia" w:ascii="宋体" w:hAnsi="宋体" w:eastAsia="宋体" w:cs="宋体"/>
          <w:spacing w:val="-4"/>
          <w:sz w:val="43"/>
          <w:szCs w:val="43"/>
          <w:lang w:eastAsia="zh-CN"/>
        </w:rPr>
        <w:t>兰州新区第五小学</w:t>
      </w:r>
      <w:r>
        <w:rPr>
          <w:rFonts w:ascii="宋体" w:hAnsi="宋体" w:eastAsia="宋体" w:cs="宋体"/>
          <w:spacing w:val="-2"/>
          <w:sz w:val="43"/>
          <w:szCs w:val="43"/>
        </w:rPr>
        <w:t xml:space="preserve"> 202</w:t>
      </w:r>
      <w:r>
        <w:rPr>
          <w:rFonts w:hint="eastAsia" w:ascii="宋体" w:hAnsi="宋体" w:eastAsia="宋体" w:cs="宋体"/>
          <w:spacing w:val="-2"/>
          <w:sz w:val="43"/>
          <w:szCs w:val="43"/>
          <w:lang w:val="en-US" w:eastAsia="zh-CN"/>
        </w:rPr>
        <w:t>2</w:t>
      </w:r>
      <w:r>
        <w:rPr>
          <w:rFonts w:ascii="宋体" w:hAnsi="宋体" w:eastAsia="宋体" w:cs="宋体"/>
          <w:spacing w:val="-2"/>
          <w:sz w:val="43"/>
          <w:szCs w:val="43"/>
        </w:rPr>
        <w:t xml:space="preserve"> 年度</w:t>
      </w:r>
    </w:p>
    <w:p>
      <w:pPr>
        <w:spacing w:before="139" w:line="295" w:lineRule="auto"/>
        <w:ind w:left="2105" w:right="422" w:hanging="1864"/>
        <w:jc w:val="center"/>
        <w:rPr>
          <w:rFonts w:ascii="宋体" w:hAnsi="宋体" w:eastAsia="宋体" w:cs="宋体"/>
          <w:sz w:val="43"/>
          <w:szCs w:val="43"/>
        </w:rPr>
      </w:pPr>
      <w:r>
        <w:rPr>
          <w:rFonts w:ascii="宋体" w:hAnsi="宋体" w:eastAsia="宋体" w:cs="宋体"/>
          <w:spacing w:val="9"/>
          <w:sz w:val="43"/>
          <w:szCs w:val="43"/>
        </w:rPr>
        <w:t>项目绩效评价报告</w:t>
      </w:r>
    </w:p>
    <w:p/>
    <w:p/>
    <w:p/>
    <w:p/>
    <w:p/>
    <w:p/>
    <w:p/>
    <w:p/>
    <w:p>
      <w:pPr>
        <w:spacing w:line="68" w:lineRule="exact"/>
      </w:pPr>
    </w:p>
    <w:p>
      <w:pPr>
        <w:sectPr>
          <w:pgSz w:w="11907" w:h="16839"/>
          <w:pgMar w:top="1431" w:right="1464" w:bottom="0" w:left="1654" w:header="0" w:footer="0" w:gutter="0"/>
          <w:cols w:equalWidth="0" w:num="1">
            <w:col w:w="8789"/>
          </w:cols>
        </w:sectPr>
      </w:pPr>
    </w:p>
    <w:p>
      <w:pPr>
        <w:spacing w:before="59" w:line="439" w:lineRule="auto"/>
        <w:ind w:right="128"/>
        <w:rPr>
          <w:rFonts w:ascii="仿宋" w:hAnsi="仿宋" w:eastAsia="仿宋" w:cs="仿宋"/>
          <w:sz w:val="28"/>
          <w:szCs w:val="28"/>
        </w:rPr>
      </w:pPr>
      <w:r>
        <w:rPr>
          <w:rFonts w:ascii="仿宋" w:hAnsi="仿宋" w:eastAsia="仿宋" w:cs="仿宋"/>
          <w:spacing w:val="-18"/>
          <w:sz w:val="28"/>
          <w:szCs w:val="28"/>
        </w:rPr>
        <w:t>评</w:t>
      </w:r>
      <w:r>
        <w:rPr>
          <w:rFonts w:ascii="仿宋" w:hAnsi="仿宋" w:eastAsia="仿宋" w:cs="仿宋"/>
          <w:spacing w:val="-16"/>
          <w:sz w:val="28"/>
          <w:szCs w:val="28"/>
        </w:rPr>
        <w:t>价类型：</w:t>
      </w:r>
      <w:r>
        <w:rPr>
          <w:rFonts w:ascii="仿宋" w:hAnsi="仿宋" w:eastAsia="仿宋" w:cs="仿宋"/>
          <w:sz w:val="28"/>
          <w:szCs w:val="28"/>
        </w:rPr>
        <w:t xml:space="preserve"> </w:t>
      </w:r>
      <w:r>
        <w:rPr>
          <w:rFonts w:ascii="仿宋" w:hAnsi="仿宋" w:eastAsia="仿宋" w:cs="仿宋"/>
          <w:spacing w:val="-18"/>
          <w:sz w:val="28"/>
          <w:szCs w:val="28"/>
        </w:rPr>
        <w:t>项</w:t>
      </w:r>
      <w:r>
        <w:rPr>
          <w:rFonts w:ascii="仿宋" w:hAnsi="仿宋" w:eastAsia="仿宋" w:cs="仿宋"/>
          <w:spacing w:val="-16"/>
          <w:sz w:val="28"/>
          <w:szCs w:val="28"/>
        </w:rPr>
        <w:t>目名称：</w:t>
      </w:r>
      <w:r>
        <w:rPr>
          <w:rFonts w:ascii="仿宋" w:hAnsi="仿宋" w:eastAsia="仿宋" w:cs="仿宋"/>
          <w:sz w:val="28"/>
          <w:szCs w:val="28"/>
        </w:rPr>
        <w:t xml:space="preserve"> </w:t>
      </w:r>
      <w:r>
        <w:rPr>
          <w:rFonts w:ascii="仿宋" w:hAnsi="仿宋" w:eastAsia="仿宋" w:cs="仿宋"/>
          <w:spacing w:val="-18"/>
          <w:sz w:val="28"/>
          <w:szCs w:val="28"/>
        </w:rPr>
        <w:t>主</w:t>
      </w:r>
      <w:r>
        <w:rPr>
          <w:rFonts w:ascii="仿宋" w:hAnsi="仿宋" w:eastAsia="仿宋" w:cs="仿宋"/>
          <w:spacing w:val="-16"/>
          <w:sz w:val="28"/>
          <w:szCs w:val="28"/>
        </w:rPr>
        <w:t>管部门：</w:t>
      </w:r>
      <w:r>
        <w:rPr>
          <w:rFonts w:ascii="仿宋" w:hAnsi="仿宋" w:eastAsia="仿宋" w:cs="仿宋"/>
          <w:sz w:val="28"/>
          <w:szCs w:val="28"/>
        </w:rPr>
        <w:t xml:space="preserve"> </w:t>
      </w:r>
      <w:r>
        <w:rPr>
          <w:rFonts w:ascii="仿宋" w:hAnsi="仿宋" w:eastAsia="仿宋" w:cs="仿宋"/>
          <w:spacing w:val="-18"/>
          <w:sz w:val="28"/>
          <w:szCs w:val="28"/>
        </w:rPr>
        <w:t>评</w:t>
      </w:r>
      <w:r>
        <w:rPr>
          <w:rFonts w:ascii="仿宋" w:hAnsi="仿宋" w:eastAsia="仿宋" w:cs="仿宋"/>
          <w:spacing w:val="-16"/>
          <w:sz w:val="28"/>
          <w:szCs w:val="28"/>
        </w:rPr>
        <w:t>价时间：</w:t>
      </w:r>
      <w:r>
        <w:rPr>
          <w:rFonts w:ascii="仿宋" w:hAnsi="仿宋" w:eastAsia="仿宋" w:cs="仿宋"/>
          <w:sz w:val="28"/>
          <w:szCs w:val="28"/>
        </w:rPr>
        <w:t xml:space="preserve"> </w:t>
      </w:r>
      <w:r>
        <w:rPr>
          <w:rFonts w:ascii="仿宋" w:hAnsi="仿宋" w:eastAsia="仿宋" w:cs="仿宋"/>
          <w:spacing w:val="-18"/>
          <w:sz w:val="28"/>
          <w:szCs w:val="28"/>
        </w:rPr>
        <w:t>组</w:t>
      </w:r>
      <w:r>
        <w:rPr>
          <w:rFonts w:ascii="仿宋" w:hAnsi="仿宋" w:eastAsia="仿宋" w:cs="仿宋"/>
          <w:spacing w:val="-16"/>
          <w:sz w:val="28"/>
          <w:szCs w:val="28"/>
        </w:rPr>
        <w:t>织方式：</w:t>
      </w:r>
    </w:p>
    <w:p>
      <w:pPr>
        <w:spacing w:before="1" w:line="189" w:lineRule="auto"/>
        <w:rPr>
          <w:rFonts w:ascii="仿宋" w:hAnsi="仿宋" w:eastAsia="仿宋" w:cs="仿宋"/>
          <w:sz w:val="28"/>
          <w:szCs w:val="28"/>
        </w:rPr>
      </w:pPr>
      <w:r>
        <w:rPr>
          <w:rFonts w:ascii="仿宋" w:hAnsi="仿宋" w:eastAsia="仿宋" w:cs="仿宋"/>
          <w:spacing w:val="-5"/>
          <w:sz w:val="28"/>
          <w:szCs w:val="28"/>
        </w:rPr>
        <w:t>评</w:t>
      </w:r>
      <w:r>
        <w:rPr>
          <w:rFonts w:ascii="仿宋" w:hAnsi="仿宋" w:eastAsia="仿宋" w:cs="仿宋"/>
          <w:spacing w:val="-3"/>
          <w:sz w:val="28"/>
          <w:szCs w:val="28"/>
        </w:rPr>
        <w:t>价机构：</w:t>
      </w:r>
    </w:p>
    <w:p>
      <w:pPr>
        <w:spacing w:line="14" w:lineRule="auto"/>
        <w:rPr>
          <w:rFonts w:ascii="Arial"/>
          <w:sz w:val="2"/>
        </w:rPr>
      </w:pPr>
      <w:r>
        <w:rPr>
          <w:rFonts w:ascii="Arial" w:hAnsi="Arial" w:eastAsia="Arial" w:cs="Arial"/>
          <w:sz w:val="2"/>
          <w:szCs w:val="2"/>
        </w:rPr>
        <w:br w:type="column"/>
      </w:r>
    </w:p>
    <w:p>
      <w:pPr>
        <w:spacing w:before="58" w:line="330" w:lineRule="auto"/>
        <w:ind w:left="664"/>
        <w:rPr>
          <w:rFonts w:ascii="仿宋" w:hAnsi="仿宋" w:eastAsia="仿宋" w:cs="仿宋"/>
          <w:sz w:val="28"/>
          <w:szCs w:val="28"/>
        </w:rPr>
      </w:pPr>
      <w:r>
        <w:rPr>
          <w:rFonts w:ascii="仿宋" w:hAnsi="仿宋" w:eastAsia="仿宋" w:cs="仿宋"/>
          <w:position w:val="-5"/>
          <w:sz w:val="28"/>
          <w:szCs w:val="28"/>
          <w:u w:val="single" w:color="auto"/>
        </w:rPr>
        <w:drawing>
          <wp:inline distT="0" distB="0" distL="0" distR="0">
            <wp:extent cx="128905" cy="187325"/>
            <wp:effectExtent l="0" t="0" r="4445" b="3175"/>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4"/>
                    <a:stretch>
                      <a:fillRect/>
                    </a:stretch>
                  </pic:blipFill>
                  <pic:spPr>
                    <a:xfrm>
                      <a:off x="0" y="0"/>
                      <a:ext cx="128916" cy="187936"/>
                    </a:xfrm>
                    <a:prstGeom prst="rect">
                      <a:avLst/>
                    </a:prstGeom>
                  </pic:spPr>
                </pic:pic>
              </a:graphicData>
            </a:graphic>
          </wp:inline>
        </w:drawing>
      </w:r>
      <w:r>
        <w:rPr>
          <w:rFonts w:ascii="仿宋" w:hAnsi="仿宋" w:eastAsia="仿宋" w:cs="仿宋"/>
          <w:spacing w:val="2"/>
          <w:sz w:val="28"/>
          <w:szCs w:val="28"/>
          <w:u w:val="single" w:color="auto"/>
        </w:rPr>
        <w:t>实施过程评价</w:t>
      </w:r>
      <w:r>
        <w:rPr>
          <w:rFonts w:ascii="仿宋" w:hAnsi="仿宋" w:eastAsia="仿宋" w:cs="仿宋"/>
          <w:spacing w:val="2"/>
          <w:sz w:val="28"/>
          <w:szCs w:val="28"/>
        </w:rPr>
        <w:t xml:space="preserve">          </w:t>
      </w:r>
      <w:r>
        <w:rPr>
          <w:rFonts w:ascii="仿宋" w:hAnsi="仿宋" w:eastAsia="仿宋" w:cs="仿宋"/>
          <w:spacing w:val="1"/>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微软雅黑" w:hAnsi="微软雅黑" w:eastAsia="微软雅黑" w:cs="微软雅黑"/>
          <w:spacing w:val="1"/>
          <w:sz w:val="28"/>
          <w:szCs w:val="28"/>
          <w:u w:val="none" w:color="auto"/>
        </w:rPr>
        <w:t xml:space="preserve"> </w:t>
      </w:r>
      <w:r>
        <w:rPr>
          <w:rFonts w:ascii="仿宋" w:hAnsi="仿宋" w:eastAsia="仿宋" w:cs="仿宋"/>
          <w:spacing w:val="1"/>
          <w:sz w:val="28"/>
          <w:szCs w:val="28"/>
          <w:u w:val="single" w:color="auto"/>
        </w:rPr>
        <w:t>完成结果评价</w:t>
      </w:r>
    </w:p>
    <w:p>
      <w:pPr>
        <w:spacing w:line="221" w:lineRule="auto"/>
        <w:jc w:val="center"/>
        <w:rPr>
          <w:rFonts w:ascii="仿宋" w:hAnsi="仿宋" w:eastAsia="仿宋" w:cs="仿宋"/>
          <w:sz w:val="28"/>
          <w:szCs w:val="28"/>
        </w:rPr>
      </w:pPr>
      <w:r>
        <w:rPr>
          <w:rFonts w:hint="eastAsia" w:ascii="仿宋" w:hAnsi="仿宋" w:eastAsia="仿宋" w:cs="仿宋"/>
          <w:spacing w:val="-2"/>
          <w:sz w:val="28"/>
          <w:szCs w:val="28"/>
        </w:rPr>
        <w:t>集中供暖学校暖气费</w:t>
      </w:r>
    </w:p>
    <w:p>
      <w:pPr>
        <w:spacing w:line="37" w:lineRule="exact"/>
      </w:pPr>
    </w:p>
    <w:tbl>
      <w:tblPr>
        <w:tblStyle w:val="4"/>
        <w:tblW w:w="7240" w:type="dxa"/>
        <w:tblInd w:w="0" w:type="dxa"/>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Layout w:type="fixed"/>
        <w:tblCellMar>
          <w:top w:w="0" w:type="dxa"/>
          <w:left w:w="0" w:type="dxa"/>
          <w:bottom w:w="0" w:type="dxa"/>
          <w:right w:w="0" w:type="dxa"/>
        </w:tblCellMar>
      </w:tblPr>
      <w:tblGrid>
        <w:gridCol w:w="7240"/>
      </w:tblGrid>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667" w:hRule="atLeast"/>
        </w:trPr>
        <w:tc>
          <w:tcPr>
            <w:tcW w:w="7240" w:type="dxa"/>
            <w:tcBorders>
              <w:top w:val="single" w:color="000000" w:sz="2" w:space="0"/>
              <w:bottom w:val="single" w:color="000000" w:sz="2" w:space="0"/>
            </w:tcBorders>
            <w:vAlign w:val="top"/>
          </w:tcPr>
          <w:p>
            <w:pPr>
              <w:spacing w:before="291" w:line="223" w:lineRule="auto"/>
              <w:jc w:val="center"/>
              <w:rPr>
                <w:rFonts w:ascii="仿宋" w:hAnsi="仿宋" w:eastAsia="仿宋" w:cs="仿宋"/>
                <w:sz w:val="28"/>
                <w:szCs w:val="28"/>
              </w:rPr>
            </w:pPr>
            <w:r>
              <w:rPr>
                <w:rFonts w:hint="eastAsia" w:ascii="仿宋" w:hAnsi="仿宋" w:eastAsia="仿宋" w:cs="仿宋"/>
                <w:spacing w:val="-3"/>
                <w:sz w:val="28"/>
                <w:szCs w:val="28"/>
              </w:rPr>
              <w:t>兰州新区教育体育局（教育考试院）</w:t>
            </w:r>
          </w:p>
        </w:tc>
      </w:tr>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666" w:hRule="atLeast"/>
        </w:trPr>
        <w:tc>
          <w:tcPr>
            <w:tcW w:w="7240" w:type="dxa"/>
            <w:tcBorders>
              <w:top w:val="single" w:color="000000" w:sz="2" w:space="0"/>
              <w:bottom w:val="single" w:color="000000" w:sz="2" w:space="0"/>
            </w:tcBorders>
            <w:vAlign w:val="top"/>
          </w:tcPr>
          <w:p>
            <w:pPr>
              <w:spacing w:before="288" w:line="223" w:lineRule="auto"/>
              <w:ind w:left="1287"/>
              <w:rPr>
                <w:rFonts w:ascii="仿宋" w:hAnsi="仿宋" w:eastAsia="仿宋" w:cs="仿宋"/>
                <w:sz w:val="28"/>
                <w:szCs w:val="28"/>
              </w:rPr>
            </w:pPr>
            <w:r>
              <w:rPr>
                <w:rFonts w:ascii="仿宋" w:hAnsi="仿宋" w:eastAsia="仿宋" w:cs="仿宋"/>
                <w:spacing w:val="-25"/>
                <w:sz w:val="28"/>
                <w:szCs w:val="28"/>
              </w:rPr>
              <w:t>2</w:t>
            </w:r>
            <w:r>
              <w:rPr>
                <w:rFonts w:ascii="仿宋" w:hAnsi="仿宋" w:eastAsia="仿宋" w:cs="仿宋"/>
                <w:spacing w:val="-22"/>
                <w:sz w:val="28"/>
                <w:szCs w:val="28"/>
              </w:rPr>
              <w:t xml:space="preserve">022 年 </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月 </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日至 2022 年 </w:t>
            </w:r>
            <w:r>
              <w:rPr>
                <w:rFonts w:hint="eastAsia" w:ascii="仿宋" w:hAnsi="仿宋" w:eastAsia="仿宋" w:cs="仿宋"/>
                <w:spacing w:val="-22"/>
                <w:sz w:val="28"/>
                <w:szCs w:val="28"/>
                <w:lang w:val="en-US" w:eastAsia="zh-CN"/>
              </w:rPr>
              <w:t>12</w:t>
            </w:r>
            <w:r>
              <w:rPr>
                <w:rFonts w:ascii="仿宋" w:hAnsi="仿宋" w:eastAsia="仿宋" w:cs="仿宋"/>
                <w:spacing w:val="-22"/>
                <w:sz w:val="28"/>
                <w:szCs w:val="28"/>
              </w:rPr>
              <w:t xml:space="preserve"> 月 3</w:t>
            </w:r>
            <w:r>
              <w:rPr>
                <w:rFonts w:hint="eastAsia" w:ascii="仿宋" w:hAnsi="仿宋" w:eastAsia="仿宋" w:cs="仿宋"/>
                <w:spacing w:val="-22"/>
                <w:sz w:val="28"/>
                <w:szCs w:val="28"/>
                <w:lang w:val="en-US" w:eastAsia="zh-CN"/>
              </w:rPr>
              <w:t>1</w:t>
            </w:r>
            <w:r>
              <w:rPr>
                <w:rFonts w:ascii="仿宋" w:hAnsi="仿宋" w:eastAsia="仿宋" w:cs="仿宋"/>
                <w:spacing w:val="-22"/>
                <w:sz w:val="28"/>
                <w:szCs w:val="28"/>
              </w:rPr>
              <w:t xml:space="preserve"> 日</w:t>
            </w:r>
          </w:p>
        </w:tc>
      </w:tr>
    </w:tbl>
    <w:p>
      <w:pPr>
        <w:spacing w:before="288" w:line="189" w:lineRule="auto"/>
        <w:ind w:left="421"/>
        <w:rPr>
          <w:rFonts w:ascii="仿宋" w:hAnsi="仿宋" w:eastAsia="仿宋" w:cs="仿宋"/>
          <w:sz w:val="28"/>
          <w:szCs w:val="28"/>
        </w:rPr>
      </w:pP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微软雅黑" w:hAnsi="微软雅黑" w:eastAsia="微软雅黑" w:cs="微软雅黑"/>
          <w:spacing w:val="1"/>
          <w:sz w:val="28"/>
          <w:szCs w:val="28"/>
          <w:u w:val="single" w:color="auto"/>
        </w:rPr>
        <w:t xml:space="preserve"> </w:t>
      </w:r>
      <w:r>
        <w:rPr>
          <w:rFonts w:ascii="仿宋" w:hAnsi="仿宋" w:eastAsia="仿宋" w:cs="仿宋"/>
          <w:sz w:val="28"/>
          <w:szCs w:val="28"/>
          <w:u w:val="single" w:color="auto"/>
        </w:rPr>
        <w:t>财政部门</w:t>
      </w:r>
      <w:r>
        <w:rPr>
          <w:rFonts w:ascii="仿宋" w:hAnsi="仿宋" w:eastAsia="仿宋" w:cs="仿宋"/>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仿宋" w:hAnsi="仿宋" w:eastAsia="仿宋" w:cs="仿宋"/>
          <w:sz w:val="28"/>
          <w:szCs w:val="28"/>
          <w:u w:val="single" w:color="auto"/>
        </w:rPr>
        <w:t>主管部门</w:t>
      </w:r>
      <w:r>
        <w:rPr>
          <w:rFonts w:ascii="仿宋" w:hAnsi="仿宋" w:eastAsia="仿宋" w:cs="仿宋"/>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仿宋" w:hAnsi="仿宋" w:eastAsia="仿宋" w:cs="仿宋"/>
          <w:sz w:val="28"/>
          <w:szCs w:val="28"/>
          <w:u w:val="single" w:color="auto"/>
        </w:rPr>
        <w:t>项目单位</w:t>
      </w:r>
    </w:p>
    <w:p>
      <w:pPr>
        <w:spacing w:before="280" w:line="144" w:lineRule="auto"/>
        <w:ind w:left="282"/>
        <w:rPr>
          <w:rFonts w:ascii="仿宋" w:hAnsi="仿宋" w:eastAsia="仿宋" w:cs="仿宋"/>
          <w:sz w:val="28"/>
          <w:szCs w:val="28"/>
        </w:rPr>
      </w:pP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A8"/>
      </w:r>
      <w:r>
        <w:rPr>
          <w:rFonts w:ascii="微软雅黑" w:hAnsi="微软雅黑" w:eastAsia="微软雅黑" w:cs="微软雅黑"/>
          <w:spacing w:val="-8"/>
          <w:sz w:val="28"/>
          <w:szCs w:val="28"/>
          <w:u w:val="single" w:color="auto"/>
        </w:rPr>
        <w:t xml:space="preserve"> </w:t>
      </w:r>
      <w:r>
        <w:rPr>
          <w:rFonts w:ascii="仿宋" w:hAnsi="仿宋" w:eastAsia="仿宋" w:cs="仿宋"/>
          <w:spacing w:val="-8"/>
          <w:sz w:val="28"/>
          <w:szCs w:val="28"/>
          <w:u w:val="single" w:color="auto"/>
        </w:rPr>
        <w:t>第</w:t>
      </w:r>
      <w:r>
        <w:rPr>
          <w:rFonts w:ascii="仿宋" w:hAnsi="仿宋" w:eastAsia="仿宋" w:cs="仿宋"/>
          <w:spacing w:val="-4"/>
          <w:sz w:val="28"/>
          <w:szCs w:val="28"/>
          <w:u w:val="single" w:color="auto"/>
        </w:rPr>
        <w:t>三方机构</w:t>
      </w:r>
      <w:r>
        <w:rPr>
          <w:rFonts w:ascii="仿宋" w:hAnsi="仿宋" w:eastAsia="仿宋" w:cs="仿宋"/>
          <w:spacing w:val="-4"/>
          <w:sz w:val="28"/>
          <w:szCs w:val="28"/>
        </w:rPr>
        <w:t xml:space="preserve">    </w:t>
      </w:r>
      <w:r>
        <w:rPr>
          <w:rFonts w:hint="eastAsia" w:ascii="仿宋" w:hAnsi="仿宋" w:eastAsia="仿宋" w:cs="仿宋"/>
          <w:spacing w:val="-4"/>
          <w:sz w:val="28"/>
          <w:szCs w:val="28"/>
          <w:lang w:val="en-US" w:eastAsia="zh-CN"/>
        </w:rPr>
        <w:t xml:space="preserve"> </w:t>
      </w:r>
      <w:r>
        <w:rPr>
          <w:rFonts w:ascii="微软雅黑" w:hAnsi="微软雅黑" w:eastAsia="微软雅黑" w:cs="微软雅黑"/>
          <w:spacing w:val="1"/>
          <w:sz w:val="28"/>
          <w:szCs w:val="28"/>
          <w:u w:val="none" w:color="auto"/>
        </w:rPr>
        <w:sym w:font="Wingdings" w:char="00A8"/>
      </w:r>
      <w:r>
        <w:rPr>
          <w:rFonts w:ascii="仿宋" w:hAnsi="仿宋" w:eastAsia="仿宋" w:cs="仿宋"/>
          <w:spacing w:val="-4"/>
          <w:sz w:val="28"/>
          <w:szCs w:val="28"/>
          <w:u w:val="single" w:color="auto"/>
        </w:rPr>
        <w:t>专 家 组</w:t>
      </w:r>
      <w:r>
        <w:rPr>
          <w:rFonts w:ascii="仿宋" w:hAnsi="仿宋" w:eastAsia="仿宋" w:cs="仿宋"/>
          <w:spacing w:val="-4"/>
          <w:sz w:val="28"/>
          <w:szCs w:val="28"/>
        </w:rPr>
        <w:t xml:space="preserve">    </w:t>
      </w:r>
      <w:r>
        <w:rPr>
          <w:rFonts w:ascii="微软雅黑" w:hAnsi="微软雅黑" w:eastAsia="微软雅黑" w:cs="微软雅黑"/>
          <w:spacing w:val="1"/>
          <w:sz w:val="28"/>
          <w:szCs w:val="28"/>
          <w:u w:val="none" w:color="auto"/>
        </w:rPr>
        <w:t xml:space="preserve"> </w:t>
      </w:r>
      <w:r>
        <w:rPr>
          <w:rFonts w:ascii="微软雅黑" w:hAnsi="微软雅黑" w:eastAsia="微软雅黑" w:cs="微软雅黑"/>
          <w:spacing w:val="1"/>
          <w:sz w:val="28"/>
          <w:szCs w:val="28"/>
          <w:u w:val="none" w:color="auto"/>
        </w:rPr>
        <w:sym w:font="Wingdings" w:char="00FE"/>
      </w:r>
      <w:r>
        <w:rPr>
          <w:rFonts w:ascii="仿宋" w:hAnsi="仿宋" w:eastAsia="仿宋" w:cs="仿宋"/>
          <w:spacing w:val="-4"/>
          <w:sz w:val="28"/>
          <w:szCs w:val="28"/>
          <w:u w:val="single" w:color="auto"/>
        </w:rPr>
        <w:t>项目单位评价组</w:t>
      </w:r>
    </w:p>
    <w:p>
      <w:pPr>
        <w:sectPr>
          <w:type w:val="continuous"/>
          <w:pgSz w:w="11907" w:h="16839"/>
          <w:pgMar w:top="1431" w:right="1464" w:bottom="0" w:left="1654" w:header="0" w:footer="0" w:gutter="0"/>
          <w:cols w:equalWidth="0" w:num="2">
            <w:col w:w="1448" w:space="100"/>
            <w:col w:w="7241"/>
          </w:cols>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92" w:line="660" w:lineRule="exact"/>
        <w:ind w:left="1401"/>
        <w:rPr>
          <w:rFonts w:hint="eastAsia" w:ascii="仿宋" w:hAnsi="仿宋" w:eastAsia="仿宋" w:cs="仿宋"/>
          <w:sz w:val="28"/>
          <w:szCs w:val="28"/>
          <w:lang w:eastAsia="zh-CN"/>
        </w:rPr>
      </w:pPr>
      <w:r>
        <w:rPr>
          <w:rFonts w:ascii="仿宋" w:hAnsi="仿宋" w:eastAsia="仿宋" w:cs="仿宋"/>
          <w:spacing w:val="1"/>
          <w:position w:val="29"/>
          <w:sz w:val="28"/>
          <w:szCs w:val="28"/>
        </w:rPr>
        <w:t>评价单位(盖章) ：</w:t>
      </w:r>
      <w:r>
        <w:rPr>
          <w:rFonts w:hint="eastAsia" w:ascii="仿宋" w:hAnsi="仿宋" w:eastAsia="仿宋" w:cs="仿宋"/>
          <w:spacing w:val="1"/>
          <w:position w:val="29"/>
          <w:sz w:val="28"/>
          <w:szCs w:val="28"/>
          <w:lang w:eastAsia="zh-CN"/>
        </w:rPr>
        <w:t>兰州新区第五小学</w:t>
      </w:r>
    </w:p>
    <w:p>
      <w:pPr>
        <w:spacing w:line="189" w:lineRule="auto"/>
        <w:ind w:left="2523"/>
        <w:sectPr>
          <w:type w:val="continuous"/>
          <w:pgSz w:w="11907" w:h="16839"/>
          <w:pgMar w:top="1431" w:right="1464" w:bottom="0" w:left="1654" w:header="0" w:footer="0" w:gutter="0"/>
          <w:cols w:equalWidth="0" w:num="1">
            <w:col w:w="8789"/>
          </w:cols>
        </w:sectPr>
      </w:pPr>
      <w:r>
        <w:rPr>
          <w:rFonts w:ascii="仿宋" w:hAnsi="仿宋" w:eastAsia="仿宋" w:cs="仿宋"/>
          <w:spacing w:val="-35"/>
          <w:sz w:val="28"/>
          <w:szCs w:val="28"/>
        </w:rPr>
        <w:t>上</w:t>
      </w:r>
      <w:r>
        <w:rPr>
          <w:rFonts w:ascii="仿宋" w:hAnsi="仿宋" w:eastAsia="仿宋" w:cs="仿宋"/>
          <w:spacing w:val="-19"/>
          <w:sz w:val="28"/>
          <w:szCs w:val="28"/>
        </w:rPr>
        <w:t xml:space="preserve">报时间：2022 年 </w:t>
      </w:r>
      <w:r>
        <w:rPr>
          <w:rFonts w:hint="eastAsia" w:ascii="仿宋" w:hAnsi="仿宋" w:eastAsia="仿宋" w:cs="仿宋"/>
          <w:spacing w:val="-19"/>
          <w:sz w:val="28"/>
          <w:szCs w:val="28"/>
          <w:lang w:val="en-US" w:eastAsia="zh-CN"/>
        </w:rPr>
        <w:t>12</w:t>
      </w:r>
      <w:r>
        <w:rPr>
          <w:rFonts w:ascii="仿宋" w:hAnsi="仿宋" w:eastAsia="仿宋" w:cs="仿宋"/>
          <w:spacing w:val="-19"/>
          <w:sz w:val="28"/>
          <w:szCs w:val="28"/>
        </w:rPr>
        <w:t xml:space="preserve"> 月 3</w:t>
      </w:r>
      <w:r>
        <w:rPr>
          <w:rFonts w:hint="eastAsia" w:ascii="仿宋" w:hAnsi="仿宋" w:eastAsia="仿宋" w:cs="仿宋"/>
          <w:spacing w:val="-19"/>
          <w:sz w:val="28"/>
          <w:szCs w:val="28"/>
          <w:lang w:val="en-US" w:eastAsia="zh-CN"/>
        </w:rPr>
        <w:t>1</w:t>
      </w:r>
      <w:r>
        <w:rPr>
          <w:rFonts w:ascii="仿宋" w:hAnsi="仿宋" w:eastAsia="仿宋" w:cs="仿宋"/>
          <w:spacing w:val="-19"/>
          <w:sz w:val="28"/>
          <w:szCs w:val="28"/>
        </w:rPr>
        <w:t xml:space="preserve"> 日</w:t>
      </w:r>
    </w:p>
    <w:p>
      <w:pPr>
        <w:jc w:val="center"/>
        <w:rPr>
          <w:rFonts w:hint="eastAsia" w:ascii="宋体" w:hAnsi="宋体" w:eastAsia="宋体" w:cs="宋体"/>
          <w:b/>
          <w:bCs/>
          <w:sz w:val="44"/>
          <w:szCs w:val="52"/>
        </w:rPr>
      </w:pPr>
    </w:p>
    <w:p>
      <w:pPr>
        <w:jc w:val="center"/>
        <w:rPr>
          <w:rFonts w:hint="eastAsia" w:ascii="宋体" w:hAnsi="宋体" w:eastAsia="宋体" w:cs="宋体"/>
          <w:b/>
          <w:bCs/>
          <w:sz w:val="44"/>
          <w:szCs w:val="52"/>
        </w:rPr>
      </w:pPr>
      <w:r>
        <w:rPr>
          <w:rFonts w:hint="eastAsia" w:ascii="宋体" w:hAnsi="宋体" w:eastAsia="宋体" w:cs="宋体"/>
          <w:b/>
          <w:bCs/>
          <w:sz w:val="44"/>
          <w:szCs w:val="52"/>
        </w:rPr>
        <w:t>兰州新区第五小学2022年集中供暖学校</w:t>
      </w:r>
    </w:p>
    <w:p>
      <w:pPr>
        <w:jc w:val="center"/>
        <w:rPr>
          <w:rFonts w:hint="eastAsia" w:ascii="宋体" w:hAnsi="宋体" w:eastAsia="宋体" w:cs="宋体"/>
          <w:b/>
          <w:bCs/>
          <w:sz w:val="44"/>
          <w:szCs w:val="52"/>
        </w:rPr>
      </w:pPr>
      <w:r>
        <w:rPr>
          <w:rFonts w:hint="eastAsia" w:ascii="宋体" w:hAnsi="宋体" w:eastAsia="宋体" w:cs="宋体"/>
          <w:b/>
          <w:bCs/>
          <w:sz w:val="44"/>
          <w:szCs w:val="52"/>
        </w:rPr>
        <w:t>暖气费项目绩效评价报告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为贯彻落实《中共中央国务院关于全面实施预算绩效管理的意见》(中发〔2018〕34 号)、《中共甘肃省委甘肃省人民政府关于全面实施预算绩效管理的实施意见》(甘发〔2018〕32 号) 等文件精神，全面推进预算绩效管理工作，加强财政预算支出管理水平，强化财政预算支出责任，提高财政资金使用效益，根据2018年兰州新区管委会会议纪要，新区核心区学校集体取暖费由财政列支，于 2022年1月1日至2022年12月31日对兰州新区第五小学2022年集中供暖学校暖气费项目开展了绩效评价，现就评价情况报告如下：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 项目立项背景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通过申报取暖费，保质保量完成兰州新区第五小学2022年供暖工作，使在校师生工作、生活正常运行，提升社会满意度。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(二) 项目预算安排及使用情况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 年，兰州新区第五小学集中供暖学校暖气费27.93万元，共计批复预算27.93万元。截至2021年12月31日，实际到位27.93万元，资金到位率100%，累计支出27.93 万元，预算执行率为100%。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(三) 项目主要内容和实施情况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年申报取暖费27.93万元，以保质保量完成兰州新区第五小学2022年供暖工作，使在校师生工作、生活正常运行，提升社会满意度。学校后勤保障部配合供暖公司做好设备的检修和维护，供暖期间随时监测水压水温并及时通知供暖公司进行改善。2022年10月配合供暖公司对供暖设备进行维护和检修，按时供暖并按照合同要求足额拨付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 总体绩效目标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2022年10月配合供暖公司对供暖设备进行维护和检修，按时供暖并按照合同要求足额拨付资金。保障学校冬季正常供暖，师生教育教学工作正常运行。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40"/>
        </w:rPr>
        <w:t>(二) 2022年度绩效目标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pacing w:val="8"/>
          <w:sz w:val="31"/>
          <w:szCs w:val="31"/>
        </w:rPr>
      </w:pPr>
      <w:r>
        <w:rPr>
          <w:rFonts w:hint="eastAsia" w:ascii="仿宋_GB2312" w:hAnsi="仿宋_GB2312" w:eastAsia="仿宋_GB2312" w:cs="仿宋_GB2312"/>
          <w:sz w:val="32"/>
          <w:szCs w:val="40"/>
        </w:rPr>
        <w:t>通过申报取暖费，保质保量完成兰州新区第五小学2022年供暖工作，使在校师生工作、生活正常运行，提升社会满意度。</w:t>
      </w:r>
    </w:p>
    <w:p>
      <w:pPr>
        <w:spacing w:before="1" w:line="226" w:lineRule="auto"/>
        <w:ind w:firstLine="652" w:firstLineChars="200"/>
        <w:rPr>
          <w:rFonts w:ascii="黑体" w:hAnsi="黑体" w:eastAsia="黑体" w:cs="黑体"/>
          <w:spacing w:val="-2"/>
          <w:sz w:val="24"/>
          <w:szCs w:val="24"/>
        </w:rPr>
      </w:pPr>
      <w:r>
        <w:rPr>
          <w:rFonts w:ascii="仿宋" w:hAnsi="仿宋" w:eastAsia="仿宋" w:cs="仿宋"/>
          <w:spacing w:val="8"/>
          <w:sz w:val="31"/>
          <w:szCs w:val="31"/>
        </w:rPr>
        <w:t>具</w:t>
      </w:r>
      <w:r>
        <w:rPr>
          <w:rFonts w:ascii="仿宋" w:hAnsi="仿宋" w:eastAsia="仿宋" w:cs="仿宋"/>
          <w:spacing w:val="6"/>
          <w:sz w:val="31"/>
          <w:szCs w:val="31"/>
        </w:rPr>
        <w:t>体绩效指标详见表 2-1：</w:t>
      </w:r>
    </w:p>
    <w:p>
      <w:pPr>
        <w:spacing w:before="79" w:line="221" w:lineRule="auto"/>
        <w:ind w:firstLine="708" w:firstLineChars="300"/>
        <w:rPr>
          <w:rFonts w:ascii="黑体" w:hAnsi="黑体" w:eastAsia="黑体" w:cs="黑体"/>
          <w:spacing w:val="-1"/>
          <w:sz w:val="24"/>
          <w:szCs w:val="24"/>
        </w:rPr>
      </w:pPr>
      <w:r>
        <w:rPr>
          <w:rFonts w:ascii="黑体" w:hAnsi="黑体" w:eastAsia="黑体" w:cs="黑体"/>
          <w:spacing w:val="-2"/>
          <w:sz w:val="24"/>
          <w:szCs w:val="24"/>
        </w:rPr>
        <w:t>表 2-1  202</w:t>
      </w:r>
      <w:r>
        <w:rPr>
          <w:rFonts w:hint="eastAsia" w:ascii="黑体" w:hAnsi="黑体" w:eastAsia="黑体" w:cs="黑体"/>
          <w:spacing w:val="-2"/>
          <w:sz w:val="24"/>
          <w:szCs w:val="24"/>
          <w:lang w:val="en-US" w:eastAsia="zh-CN"/>
        </w:rPr>
        <w:t>2</w:t>
      </w:r>
      <w:r>
        <w:rPr>
          <w:rFonts w:ascii="黑体" w:hAnsi="黑体" w:eastAsia="黑体" w:cs="黑体"/>
          <w:spacing w:val="-2"/>
          <w:sz w:val="24"/>
          <w:szCs w:val="24"/>
        </w:rPr>
        <w:t>年</w:t>
      </w:r>
      <w:r>
        <w:rPr>
          <w:rFonts w:hint="eastAsia" w:ascii="黑体" w:hAnsi="黑体" w:eastAsia="黑体" w:cs="黑体"/>
          <w:spacing w:val="-2"/>
          <w:sz w:val="24"/>
          <w:szCs w:val="24"/>
        </w:rPr>
        <w:t>集中供暖学校暖气费</w:t>
      </w:r>
      <w:r>
        <w:rPr>
          <w:rFonts w:ascii="黑体" w:hAnsi="黑体" w:eastAsia="黑体" w:cs="黑体"/>
          <w:spacing w:val="-1"/>
          <w:sz w:val="24"/>
          <w:szCs w:val="24"/>
        </w:rPr>
        <w:t>项目年度绩效指标</w:t>
      </w:r>
    </w:p>
    <w:tbl>
      <w:tblPr>
        <w:tblStyle w:val="2"/>
        <w:tblW w:w="82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32"/>
        <w:gridCol w:w="1296"/>
        <w:gridCol w:w="2721"/>
        <w:gridCol w:w="1307"/>
        <w:gridCol w:w="12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 w:hRule="atLeast"/>
        </w:trPr>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一级指标</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二级指标</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三级指标</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指标目标值</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中期指标值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产出指标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供暖学校数</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r>
              <w:rPr>
                <w:rStyle w:val="5"/>
                <w:snapToGrid w:val="0"/>
                <w:color w:val="000000"/>
                <w:lang w:val="en-US" w:eastAsia="zh-CN" w:bidi="ar"/>
              </w:rPr>
              <w:t>所</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333333"/>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质量指标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供暖水压水温达标情况</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达标</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333333"/>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时效指标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供暖及时性</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及时</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及时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效益指标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社会效益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指标</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改善学校整体运转水平</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改善</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得到改善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可持续影响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保障学校正常运转</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保障运转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1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满意度指标</w:t>
            </w: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服务对象1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满意度指标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教职工满意度</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服务对象2 </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满意度指标</w:t>
            </w:r>
          </w:p>
        </w:tc>
        <w:tc>
          <w:tcPr>
            <w:tcW w:w="272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学生满意度</w:t>
            </w:r>
          </w:p>
        </w:tc>
        <w:tc>
          <w:tcPr>
            <w:tcW w:w="13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c>
          <w:tcPr>
            <w:tcW w:w="12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snapToGrid w:val="0"/>
                <w:color w:val="000000"/>
                <w:kern w:val="0"/>
                <w:sz w:val="20"/>
                <w:szCs w:val="20"/>
                <w:u w:val="none"/>
                <w:lang w:val="en-US" w:eastAsia="zh-CN" w:bidi="ar"/>
              </w:rPr>
              <w:t>≥96%</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黑体" w:hAnsi="黑体" w:eastAsia="黑体" w:cs="黑体"/>
          <w:sz w:val="32"/>
          <w:szCs w:val="40"/>
        </w:rPr>
        <w:t>三、评价基本情况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(一)绩效评价目的、对象和范围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本次绩效评价对象是兰州新区第五小学2022年集中供暖学校暖气费27.93万元，项目主管部门为兰州新区教育体育局（教育考试院），资金评价年度为2022年。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评价目的是通过申报取暖费，保质保量完成兰州新区第五小学2022年供暖工作，使在校师生工作、生活正常运行，提升社会满意度。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楷体_GB2312" w:hAnsi="楷体_GB2312" w:eastAsia="楷体_GB2312" w:cs="楷体_GB2312"/>
          <w:b/>
          <w:bCs/>
          <w:sz w:val="32"/>
          <w:szCs w:val="40"/>
        </w:rPr>
        <w:t>(二)评价依据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1.预算绩效管理及专项资金相关文件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(1)《中华人民共和国预算法》；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(2)《中共中央国务院关于全面实施预算绩效管理的意见》(中发〔2018〕34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(3)《财政部关于印发〈项目支出绩效评价管理办法〉的通知》(财预〔2020〕10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(4)《中共甘肃省委甘肃省人民政府关于全面实施预算绩效管理的实施意见》(甘发〔2018〕32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(5)《甘肃省财政厅关于印发甘肃省省级预算绩效管理 办法等6个办法和规程的通知》(甘财绩〔2020〕5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2.法律法规及相关政策文件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(1)《财政部财政信息化建设管理办法》；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(2)《国务院办公厅关于印发国家政务信息化项目建设管理办法的通知》(国办发〔2019〕57 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(3)《甘肃省人民政府关于加强数字政府建设的意见》 (甘政发〔2021〕69 号)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(4)《甘肃省人民政府办公厅关于印发甘肃省数字政府 建设总体规划 (2021-2025)的通知》(甘政办发〔2021〕113 号)等。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3.其他涉及专项资金及项目的相关依据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项目概况，包括项目实施方案、专项资金管理办法等； 项目预算绩效目标批复表、会计记账凭证(资金入账凭证和支出记账凭证)、采购公示、合同。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(三)评价原则、评价方法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本次评价遵循“客观、公正、科学、规范”的原则，采用“以结果为导向、基于证据”的评价思路，制定出本项目绩效 评价方法体系，并以此为基础，采用目标管理法、层次分析法、因素分析法、公众评判法等方法。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主要采用以下方法：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 目标管理法。本项目在评价体系设计、评估过程、 评价结论形成等环节中主要采用了目标管理法的思路。一方面， 在项目决策方面，项目绩效目标设立的合理性和明确性本身就是本次评价重要的内容；另一方面，在评估过程中“以结果为导向”，考察项目实施过程和结果对其前期设定“绩效目标”的指导性任务的实现程度，最终形成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(2)层次分析法。层次分析法主要是将本次绩效评价按总目标、各层子目标(一级指标)、评价准则(二级指标) 直至具体的评价方案(三级指标)的顺序分解为不同的层次结构，通过特征向量求得每一层次的各元素对上一层次某元素的优先权重，最终形成本次绩效评价的指标体系。在评价过程中，从最低层次依权重顺次归纳总结，形成评价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(3)因素分析法。因素分析法是依据分析指标与其影 响因素的关系，从数量上确定各因素对分析指标影响方向和 影响程度的一种方法，本次绩效评价通过综合分析影响绩效 目标实现、实施效果的内外因素，评价绩效目标实现程度； 通过列举所有影响成本、进度和收益的因素，进行全面、综 合的分析，从而得出评价结果的方法。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3.评定方法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依据《财政部关于印发〈项目支出绩效评价管理办法〉的通知》(财预〔2020〕10 号)，绩效评价等级划分为四档，分别为“优、良、中、差”。绩效评价结果评分分值与评价等级的对应关系详见表3-1。</w:t>
      </w:r>
    </w:p>
    <w:p>
      <w:pPr>
        <w:spacing w:before="47" w:line="221" w:lineRule="auto"/>
        <w:ind w:left="1940"/>
        <w:rPr>
          <w:rFonts w:ascii="黑体" w:hAnsi="黑体" w:eastAsia="黑体" w:cs="黑体"/>
          <w:color w:val="000000" w:themeColor="text1"/>
          <w:sz w:val="24"/>
          <w:szCs w:val="24"/>
          <w14:textFill>
            <w14:solidFill>
              <w14:schemeClr w14:val="tx1"/>
            </w14:solidFill>
          </w14:textFill>
        </w:rPr>
      </w:pPr>
      <w:r>
        <w:rPr>
          <w:rFonts w:ascii="黑体" w:hAnsi="黑体" w:eastAsia="黑体" w:cs="黑体"/>
          <w:color w:val="000000" w:themeColor="text1"/>
          <w:spacing w:val="-12"/>
          <w:sz w:val="24"/>
          <w:szCs w:val="24"/>
          <w14:textFill>
            <w14:solidFill>
              <w14:schemeClr w14:val="tx1"/>
            </w14:solidFill>
          </w14:textFill>
        </w:rPr>
        <w:t>表</w:t>
      </w:r>
      <w:r>
        <w:rPr>
          <w:rFonts w:ascii="黑体" w:hAnsi="黑体" w:eastAsia="黑体" w:cs="黑体"/>
          <w:color w:val="000000" w:themeColor="text1"/>
          <w:spacing w:val="-9"/>
          <w:sz w:val="24"/>
          <w:szCs w:val="24"/>
          <w14:textFill>
            <w14:solidFill>
              <w14:schemeClr w14:val="tx1"/>
            </w14:solidFill>
          </w14:textFill>
        </w:rPr>
        <w:t xml:space="preserve"> </w:t>
      </w:r>
      <w:r>
        <w:rPr>
          <w:rFonts w:ascii="黑体" w:hAnsi="黑体" w:eastAsia="黑体" w:cs="黑体"/>
          <w:color w:val="000000" w:themeColor="text1"/>
          <w:spacing w:val="-6"/>
          <w:sz w:val="24"/>
          <w:szCs w:val="24"/>
          <w14:textFill>
            <w14:solidFill>
              <w14:schemeClr w14:val="tx1"/>
            </w14:solidFill>
          </w14:textFill>
        </w:rPr>
        <w:t>3-1  绩效评价结果评分分值与评价等级表</w:t>
      </w:r>
    </w:p>
    <w:p>
      <w:pPr>
        <w:spacing w:line="51" w:lineRule="exact"/>
        <w:rPr>
          <w:color w:val="000000" w:themeColor="text1"/>
          <w14:textFill>
            <w14:solidFill>
              <w14:schemeClr w14:val="tx1"/>
            </w14:solidFill>
          </w14:textFill>
        </w:rPr>
      </w:pPr>
    </w:p>
    <w:tbl>
      <w:tblPr>
        <w:tblStyle w:val="4"/>
        <w:tblW w:w="851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5"/>
        <w:gridCol w:w="1701"/>
        <w:gridCol w:w="1701"/>
        <w:gridCol w:w="1698"/>
        <w:gridCol w:w="17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705" w:type="dxa"/>
            <w:vAlign w:val="top"/>
          </w:tcPr>
          <w:p>
            <w:pPr>
              <w:spacing w:before="238" w:line="223" w:lineRule="auto"/>
              <w:ind w:left="45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7"/>
                <w:sz w:val="21"/>
                <w:szCs w:val="21"/>
                <w14:textOutline w14:w="3835" w14:cap="flat" w14:cmpd="sng">
                  <w14:solidFill>
                    <w14:srgbClr w14:val="000000"/>
                  </w14:solidFill>
                  <w14:prstDash w14:val="solid"/>
                  <w14:miter w14:val="0"/>
                </w14:textOutline>
                <w14:textFill>
                  <w14:solidFill>
                    <w14:schemeClr w14:val="tx1"/>
                  </w14:solidFill>
                </w14:textFill>
              </w:rPr>
              <w:t>评</w:t>
            </w:r>
            <w:r>
              <w:rPr>
                <w:rFonts w:ascii="仿宋" w:hAnsi="仿宋" w:eastAsia="仿宋" w:cs="仿宋"/>
                <w:color w:val="000000" w:themeColor="text1"/>
                <w:spacing w:val="-4"/>
                <w:sz w:val="21"/>
                <w:szCs w:val="21"/>
                <w14:textOutline w14:w="3835" w14:cap="flat" w14:cmpd="sng">
                  <w14:solidFill>
                    <w14:srgbClr w14:val="000000"/>
                  </w14:solidFill>
                  <w14:prstDash w14:val="solid"/>
                  <w14:miter w14:val="0"/>
                </w14:textOutline>
                <w14:textFill>
                  <w14:solidFill>
                    <w14:schemeClr w14:val="tx1"/>
                  </w14:solidFill>
                </w14:textFill>
              </w:rPr>
              <w:t>价等级</w:t>
            </w:r>
          </w:p>
        </w:tc>
        <w:tc>
          <w:tcPr>
            <w:tcW w:w="1701" w:type="dxa"/>
            <w:vAlign w:val="top"/>
          </w:tcPr>
          <w:p>
            <w:pPr>
              <w:spacing w:before="238" w:line="223" w:lineRule="auto"/>
              <w:ind w:left="756"/>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优</w:t>
            </w:r>
          </w:p>
        </w:tc>
        <w:tc>
          <w:tcPr>
            <w:tcW w:w="1701" w:type="dxa"/>
            <w:vAlign w:val="top"/>
          </w:tcPr>
          <w:p>
            <w:pPr>
              <w:spacing w:before="238" w:line="225" w:lineRule="auto"/>
              <w:ind w:left="788"/>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良</w:t>
            </w:r>
          </w:p>
        </w:tc>
        <w:tc>
          <w:tcPr>
            <w:tcW w:w="1698" w:type="dxa"/>
            <w:vAlign w:val="top"/>
          </w:tcPr>
          <w:p>
            <w:pPr>
              <w:spacing w:before="238" w:line="223" w:lineRule="auto"/>
              <w:ind w:left="782"/>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中</w:t>
            </w:r>
          </w:p>
        </w:tc>
        <w:tc>
          <w:tcPr>
            <w:tcW w:w="1705" w:type="dxa"/>
            <w:vAlign w:val="top"/>
          </w:tcPr>
          <w:p>
            <w:pPr>
              <w:spacing w:before="237" w:line="231" w:lineRule="auto"/>
              <w:ind w:left="76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z w:val="21"/>
                <w:szCs w:val="21"/>
                <w14:textOutline w14:w="3835" w14:cap="flat" w14:cmpd="sng">
                  <w14:solidFill>
                    <w14:srgbClr w14:val="000000"/>
                  </w14:solidFill>
                  <w14:prstDash w14:val="solid"/>
                  <w14:miter w14:val="0"/>
                </w14:textOutline>
                <w14:textFill>
                  <w14:solidFill>
                    <w14:schemeClr w14:val="tx1"/>
                  </w14:solidFill>
                </w14:textFill>
              </w:rPr>
              <w:t>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trPr>
        <w:tc>
          <w:tcPr>
            <w:tcW w:w="1705" w:type="dxa"/>
            <w:vAlign w:val="top"/>
          </w:tcPr>
          <w:p>
            <w:pPr>
              <w:spacing w:before="236" w:line="223" w:lineRule="auto"/>
              <w:ind w:left="194"/>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12"/>
                <w:sz w:val="21"/>
                <w:szCs w:val="21"/>
                <w14:textFill>
                  <w14:solidFill>
                    <w14:schemeClr w14:val="tx1"/>
                  </w14:solidFill>
                </w14:textFill>
              </w:rPr>
              <w:t>评价得分(</w:t>
            </w:r>
            <w:r>
              <w:rPr>
                <w:rFonts w:ascii="仿宋" w:hAnsi="仿宋" w:eastAsia="仿宋" w:cs="仿宋"/>
                <w:color w:val="000000" w:themeColor="text1"/>
                <w:sz w:val="21"/>
                <w:szCs w:val="21"/>
                <w14:textFill>
                  <w14:solidFill>
                    <w14:schemeClr w14:val="tx1"/>
                  </w14:solidFill>
                </w14:textFill>
              </w:rPr>
              <w:t>S</w:t>
            </w:r>
            <w:r>
              <w:rPr>
                <w:rFonts w:ascii="仿宋" w:hAnsi="仿宋" w:eastAsia="仿宋" w:cs="仿宋"/>
                <w:color w:val="000000" w:themeColor="text1"/>
                <w:spacing w:val="12"/>
                <w:sz w:val="21"/>
                <w:szCs w:val="21"/>
                <w14:textFill>
                  <w14:solidFill>
                    <w14:schemeClr w14:val="tx1"/>
                  </w14:solidFill>
                </w14:textFill>
              </w:rPr>
              <w:t>)</w:t>
            </w:r>
          </w:p>
        </w:tc>
        <w:tc>
          <w:tcPr>
            <w:tcW w:w="1701" w:type="dxa"/>
            <w:vAlign w:val="top"/>
          </w:tcPr>
          <w:p>
            <w:pPr>
              <w:spacing w:before="236" w:line="242" w:lineRule="auto"/>
              <w:ind w:left="597"/>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3"/>
                <w:sz w:val="21"/>
                <w:szCs w:val="21"/>
                <w14:textFill>
                  <w14:solidFill>
                    <w14:schemeClr w14:val="tx1"/>
                  </w14:solidFill>
                </w14:textFill>
              </w:rPr>
              <w:t>S≥90</w:t>
            </w:r>
          </w:p>
        </w:tc>
        <w:tc>
          <w:tcPr>
            <w:tcW w:w="1701" w:type="dxa"/>
            <w:vAlign w:val="top"/>
          </w:tcPr>
          <w:p>
            <w:pPr>
              <w:spacing w:before="236" w:line="241" w:lineRule="auto"/>
              <w:ind w:left="391"/>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3"/>
                <w:sz w:val="21"/>
                <w:szCs w:val="21"/>
                <w14:textFill>
                  <w14:solidFill>
                    <w14:schemeClr w14:val="tx1"/>
                  </w14:solidFill>
                </w14:textFill>
              </w:rPr>
              <w:t>80≤S＜90</w:t>
            </w:r>
          </w:p>
        </w:tc>
        <w:tc>
          <w:tcPr>
            <w:tcW w:w="1698" w:type="dxa"/>
            <w:vAlign w:val="top"/>
          </w:tcPr>
          <w:p>
            <w:pPr>
              <w:spacing w:before="236" w:line="241" w:lineRule="auto"/>
              <w:ind w:left="390"/>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5"/>
                <w:sz w:val="21"/>
                <w:szCs w:val="21"/>
                <w14:textFill>
                  <w14:solidFill>
                    <w14:schemeClr w14:val="tx1"/>
                  </w14:solidFill>
                </w14:textFill>
              </w:rPr>
              <w:t>6</w:t>
            </w:r>
            <w:r>
              <w:rPr>
                <w:rFonts w:ascii="仿宋" w:hAnsi="仿宋" w:eastAsia="仿宋" w:cs="仿宋"/>
                <w:color w:val="000000" w:themeColor="text1"/>
                <w:spacing w:val="-3"/>
                <w:sz w:val="21"/>
                <w:szCs w:val="21"/>
                <w14:textFill>
                  <w14:solidFill>
                    <w14:schemeClr w14:val="tx1"/>
                  </w14:solidFill>
                </w14:textFill>
              </w:rPr>
              <w:t>0≤S＜80</w:t>
            </w:r>
          </w:p>
        </w:tc>
        <w:tc>
          <w:tcPr>
            <w:tcW w:w="1705" w:type="dxa"/>
            <w:vAlign w:val="top"/>
          </w:tcPr>
          <w:p>
            <w:pPr>
              <w:spacing w:before="236" w:line="242" w:lineRule="auto"/>
              <w:ind w:left="600"/>
              <w:rPr>
                <w:rFonts w:ascii="仿宋" w:hAnsi="仿宋" w:eastAsia="仿宋" w:cs="仿宋"/>
                <w:color w:val="000000" w:themeColor="text1"/>
                <w:sz w:val="21"/>
                <w:szCs w:val="21"/>
                <w14:textFill>
                  <w14:solidFill>
                    <w14:schemeClr w14:val="tx1"/>
                  </w14:solidFill>
                </w14:textFill>
              </w:rPr>
            </w:pPr>
            <w:r>
              <w:rPr>
                <w:rFonts w:ascii="仿宋" w:hAnsi="仿宋" w:eastAsia="仿宋" w:cs="仿宋"/>
                <w:color w:val="000000" w:themeColor="text1"/>
                <w:spacing w:val="-2"/>
                <w:sz w:val="21"/>
                <w:szCs w:val="21"/>
                <w14:textFill>
                  <w14:solidFill>
                    <w14:schemeClr w14:val="tx1"/>
                  </w14:solidFill>
                </w14:textFill>
              </w:rPr>
              <w:t>S</w:t>
            </w:r>
            <w:r>
              <w:rPr>
                <w:rFonts w:ascii="仿宋" w:hAnsi="仿宋" w:eastAsia="仿宋" w:cs="仿宋"/>
                <w:color w:val="000000" w:themeColor="text1"/>
                <w:spacing w:val="-4"/>
                <w:sz w:val="21"/>
                <w:szCs w:val="21"/>
                <w14:textFill>
                  <w14:solidFill>
                    <w14:schemeClr w14:val="tx1"/>
                  </w14:solidFill>
                </w14:textFill>
              </w:rPr>
              <w:t>＜</w:t>
            </w:r>
            <w:r>
              <w:rPr>
                <w:rFonts w:ascii="仿宋" w:hAnsi="仿宋" w:eastAsia="仿宋" w:cs="仿宋"/>
                <w:color w:val="000000" w:themeColor="text1"/>
                <w:spacing w:val="-3"/>
                <w:sz w:val="21"/>
                <w:szCs w:val="21"/>
                <w14:textFill>
                  <w14:solidFill>
                    <w14:schemeClr w14:val="tx1"/>
                  </w14:solidFill>
                </w14:textFill>
              </w:rPr>
              <w:t>6</w:t>
            </w:r>
            <w:r>
              <w:rPr>
                <w:rFonts w:ascii="仿宋" w:hAnsi="仿宋" w:eastAsia="仿宋" w:cs="仿宋"/>
                <w:color w:val="000000" w:themeColor="text1"/>
                <w:spacing w:val="-2"/>
                <w:sz w:val="21"/>
                <w:szCs w:val="21"/>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(四)绩效评价指标体系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根据《财政部关于印发〈项目支出绩效评价管理办法〉的通知》(财预〔2020〕10号)及预算绩效管理办法、政 策性法规等。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本次绩效评价指标体系为三级指标体系，共含 3 个一级指标、7个二级指标、7个三级指标。评价工作主要从产出、效益、满意度三个方面进行考核和评价，</w:t>
      </w:r>
      <w:r>
        <w:rPr>
          <w:rFonts w:hint="eastAsia" w:ascii="仿宋_GB2312" w:hAnsi="仿宋_GB2312" w:eastAsia="仿宋_GB2312" w:cs="仿宋_GB2312"/>
          <w:sz w:val="32"/>
          <w:szCs w:val="40"/>
          <w:lang w:eastAsia="zh-CN"/>
        </w:rPr>
        <w:t>三</w:t>
      </w:r>
      <w:r>
        <w:rPr>
          <w:rFonts w:hint="eastAsia" w:ascii="仿宋_GB2312" w:hAnsi="仿宋_GB2312" w:eastAsia="仿宋_GB2312" w:cs="仿宋_GB2312"/>
          <w:sz w:val="32"/>
          <w:szCs w:val="40"/>
        </w:rPr>
        <w:t>个方面之间的权重占比分别为30%、30%、40%。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40"/>
        </w:rPr>
      </w:pPr>
      <w:r>
        <w:rPr>
          <w:rFonts w:hint="eastAsia" w:ascii="黑体" w:hAnsi="黑体" w:eastAsia="黑体" w:cs="黑体"/>
          <w:sz w:val="32"/>
          <w:szCs w:val="40"/>
        </w:rPr>
        <w:t>四、评价结论和绩效分析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通过运用由评价工作组设计确认的评 价指标体系及评分标准，评价工作组对兰州新区第五小学2022年集中供暖学校暖气费项目进行客观评价，综合评价得分为 98 分，评价等级为“优”。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兰州新区第五小学2022年集中供暖学校暖气费27.93万元，项目主管部门为兰州新区教育体育局（教育考试院）。2022年下达集中供暖学校暖气费27.93万元，资金到位率100%。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集中供暖学校暖气费截至评价日期，项目累计支出27.93万元，预算执行率为100%。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项目执行资金严格按照国家财经法规、财务管理制度的规定使用；资金的拨付有完整的申报、审批程序，符合项目预算批复的用途，评价组在核查资金明细账及相关记账凭证、附件时未发现资金挪用、截留、挤占及</w:t>
      </w:r>
      <w:bookmarkStart w:id="0" w:name="_GoBack"/>
      <w:bookmarkEnd w:id="0"/>
      <w:r>
        <w:rPr>
          <w:rFonts w:hint="eastAsia" w:ascii="仿宋_GB2312" w:hAnsi="仿宋_GB2312" w:eastAsia="仿宋_GB2312" w:cs="仿宋_GB2312"/>
          <w:sz w:val="32"/>
          <w:szCs w:val="40"/>
        </w:rPr>
        <w:t>虚列支出等情况。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义启紫水晶体">
    <w:panose1 w:val="02000500000000000000"/>
    <w:charset w:val="80"/>
    <w:family w:val="auto"/>
    <w:pitch w:val="default"/>
    <w:sig w:usb0="E00002FF" w:usb1="5800205B" w:usb2="00000028" w:usb3="00000000" w:csb0="200201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hMGFiZGZlZjFiNWU3N2RlOGM0ZWI2NzdjNmZmN2EifQ=="/>
  </w:docVars>
  <w:rsids>
    <w:rsidRoot w:val="4106642B"/>
    <w:rsid w:val="1C7D3242"/>
    <w:rsid w:val="1D893503"/>
    <w:rsid w:val="41066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character" w:customStyle="1" w:styleId="5">
    <w:name w:val="font11"/>
    <w:basedOn w:val="3"/>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2023-09-18T10:04:00Z</dcterms:created>
  <dc:creator>海帆</dc:creator>
  <cp:lastModifiedBy>海帆</cp:lastModifiedBy>
  <dcterms:modified xsi:type="dcterms:W3CDTF">2023-09-18T10:16:38Z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230369A1720440EA8CCCE8063A3D8E90_11</vt:lpwstr>
  </property>
</Properties>
</file>