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BBC2C0">
      <w:pPr>
        <w:pStyle w:val="7"/>
        <w:pageBreakBefore w:val="0"/>
        <w:widowControl/>
        <w:kinsoku/>
        <w:wordWrap/>
        <w:overflowPunct/>
        <w:topLinePunct w:val="0"/>
        <w:autoSpaceDE/>
        <w:autoSpaceDN/>
        <w:bidi w:val="0"/>
        <w:adjustRightInd/>
        <w:spacing w:line="560" w:lineRule="exact"/>
        <w:jc w:val="left"/>
        <w:textAlignment w:val="auto"/>
        <w:rPr>
          <w:rFonts w:hint="eastAsia" w:ascii="方正小标宋_GBK" w:hAnsi="方正小标宋_GBK" w:eastAsia="方正小标宋_GBK" w:cs="方正小标宋_GBK"/>
          <w:b w:val="0"/>
          <w:bCs w:val="0"/>
          <w:sz w:val="44"/>
          <w:szCs w:val="44"/>
          <w:lang w:eastAsia="zh-CN" w:bidi="ar"/>
        </w:rPr>
      </w:pPr>
    </w:p>
    <w:p w14:paraId="1F5C7AEB">
      <w:pPr>
        <w:pStyle w:val="7"/>
        <w:pageBreakBefore w:val="0"/>
        <w:widowControl/>
        <w:kinsoku/>
        <w:wordWrap/>
        <w:overflowPunct/>
        <w:topLinePunct w:val="0"/>
        <w:autoSpaceDE/>
        <w:autoSpaceDN/>
        <w:bidi w:val="0"/>
        <w:adjustRightInd/>
        <w:spacing w:line="560" w:lineRule="exact"/>
        <w:jc w:val="left"/>
        <w:textAlignment w:val="auto"/>
        <w:rPr>
          <w:rFonts w:hint="eastAsia" w:ascii="方正小标宋_GBK" w:hAnsi="方正小标宋_GBK" w:eastAsia="方正小标宋_GBK" w:cs="方正小标宋_GBK"/>
          <w:b w:val="0"/>
          <w:bCs w:val="0"/>
          <w:sz w:val="44"/>
          <w:szCs w:val="44"/>
          <w:lang w:eastAsia="zh-CN" w:bidi="ar"/>
        </w:rPr>
      </w:pPr>
    </w:p>
    <w:p w14:paraId="276FE4CC">
      <w:pPr>
        <w:pStyle w:val="7"/>
        <w:pageBreakBefore w:val="0"/>
        <w:widowControl/>
        <w:kinsoku/>
        <w:wordWrap/>
        <w:overflowPunct/>
        <w:topLinePunct w:val="0"/>
        <w:autoSpaceDE/>
        <w:autoSpaceDN/>
        <w:bidi w:val="0"/>
        <w:adjustRightInd/>
        <w:spacing w:line="560" w:lineRule="exact"/>
        <w:jc w:val="left"/>
        <w:textAlignment w:val="auto"/>
        <w:rPr>
          <w:rFonts w:hint="eastAsia" w:ascii="方正小标宋_GBK" w:hAnsi="方正小标宋_GBK" w:eastAsia="方正小标宋_GBK" w:cs="方正小标宋_GBK"/>
          <w:b w:val="0"/>
          <w:bCs w:val="0"/>
          <w:sz w:val="44"/>
          <w:szCs w:val="44"/>
          <w:lang w:eastAsia="zh-CN" w:bidi="ar"/>
        </w:rPr>
      </w:pPr>
    </w:p>
    <w:p w14:paraId="75321AAD">
      <w:pPr>
        <w:pStyle w:val="7"/>
        <w:pageBreakBefore w:val="0"/>
        <w:widowControl/>
        <w:kinsoku/>
        <w:wordWrap/>
        <w:overflowPunct/>
        <w:topLinePunct w:val="0"/>
        <w:autoSpaceDE/>
        <w:autoSpaceDN/>
        <w:bidi w:val="0"/>
        <w:adjustRightInd/>
        <w:spacing w:line="560" w:lineRule="exact"/>
        <w:ind w:left="1760" w:hanging="1767" w:hangingChars="400"/>
        <w:jc w:val="center"/>
        <w:textAlignment w:val="auto"/>
        <w:rPr>
          <w:rFonts w:hint="eastAsia" w:asciiTheme="majorEastAsia" w:hAnsiTheme="majorEastAsia" w:eastAsiaTheme="majorEastAsia" w:cstheme="majorEastAsia"/>
          <w:b/>
          <w:bCs/>
          <w:sz w:val="44"/>
          <w:szCs w:val="44"/>
          <w:lang w:val="en-US" w:eastAsia="zh-CN" w:bidi="ar"/>
        </w:rPr>
      </w:pPr>
      <w:r>
        <w:rPr>
          <w:rFonts w:hint="eastAsia" w:asciiTheme="majorEastAsia" w:hAnsiTheme="majorEastAsia" w:eastAsiaTheme="majorEastAsia" w:cstheme="majorEastAsia"/>
          <w:b/>
          <w:bCs/>
          <w:sz w:val="44"/>
          <w:szCs w:val="44"/>
          <w:lang w:bidi="ar"/>
        </w:rPr>
        <w:t>兰州新区</w:t>
      </w:r>
      <w:r>
        <w:rPr>
          <w:rFonts w:hint="eastAsia" w:asciiTheme="majorEastAsia" w:hAnsiTheme="majorEastAsia" w:eastAsiaTheme="majorEastAsia" w:cstheme="majorEastAsia"/>
          <w:b/>
          <w:bCs/>
          <w:sz w:val="44"/>
          <w:szCs w:val="44"/>
          <w:lang w:val="en-US" w:eastAsia="zh-CN" w:bidi="ar"/>
        </w:rPr>
        <w:t>瑞岭雅苑社区卫生服中心</w:t>
      </w:r>
    </w:p>
    <w:p w14:paraId="1957AE38">
      <w:pPr>
        <w:pStyle w:val="7"/>
        <w:pageBreakBefore w:val="0"/>
        <w:widowControl/>
        <w:kinsoku/>
        <w:wordWrap/>
        <w:overflowPunct/>
        <w:topLinePunct w:val="0"/>
        <w:autoSpaceDE/>
        <w:autoSpaceDN/>
        <w:bidi w:val="0"/>
        <w:adjustRightInd/>
        <w:spacing w:line="560" w:lineRule="exact"/>
        <w:ind w:left="1760" w:hanging="1767" w:hangingChars="400"/>
        <w:jc w:val="center"/>
        <w:textAlignment w:val="auto"/>
        <w:rPr>
          <w:rFonts w:hint="eastAsia" w:asciiTheme="majorEastAsia" w:hAnsiTheme="majorEastAsia" w:eastAsiaTheme="majorEastAsia" w:cstheme="majorEastAsia"/>
          <w:b/>
          <w:bCs/>
          <w:sz w:val="44"/>
          <w:szCs w:val="44"/>
          <w:lang w:bidi="ar"/>
        </w:rPr>
      </w:pPr>
      <w:r>
        <w:rPr>
          <w:rFonts w:hint="eastAsia" w:asciiTheme="majorEastAsia" w:hAnsiTheme="majorEastAsia" w:eastAsiaTheme="majorEastAsia" w:cstheme="majorEastAsia"/>
          <w:b/>
          <w:bCs/>
          <w:sz w:val="44"/>
          <w:szCs w:val="44"/>
          <w:lang w:eastAsia="zh-CN" w:bidi="ar"/>
        </w:rPr>
        <w:t>2024年</w:t>
      </w:r>
      <w:r>
        <w:rPr>
          <w:rFonts w:hint="eastAsia" w:asciiTheme="majorEastAsia" w:hAnsiTheme="majorEastAsia" w:eastAsiaTheme="majorEastAsia" w:cstheme="majorEastAsia"/>
          <w:b/>
          <w:bCs/>
          <w:sz w:val="44"/>
          <w:szCs w:val="44"/>
          <w:lang w:bidi="ar"/>
        </w:rPr>
        <w:t>度</w:t>
      </w:r>
      <w:r>
        <w:rPr>
          <w:rFonts w:hint="eastAsia" w:asciiTheme="majorEastAsia" w:hAnsiTheme="majorEastAsia" w:eastAsiaTheme="majorEastAsia" w:cstheme="majorEastAsia"/>
          <w:b/>
          <w:bCs/>
          <w:sz w:val="44"/>
          <w:szCs w:val="44"/>
          <w:lang w:val="en-US" w:eastAsia="zh-CN" w:bidi="ar"/>
        </w:rPr>
        <w:t>预算执行情况</w:t>
      </w:r>
      <w:r>
        <w:rPr>
          <w:rFonts w:hint="eastAsia" w:asciiTheme="majorEastAsia" w:hAnsiTheme="majorEastAsia" w:eastAsiaTheme="majorEastAsia" w:cstheme="majorEastAsia"/>
          <w:b/>
          <w:bCs/>
          <w:sz w:val="44"/>
          <w:szCs w:val="44"/>
          <w:lang w:bidi="ar"/>
        </w:rPr>
        <w:t>自评报告</w:t>
      </w:r>
    </w:p>
    <w:p w14:paraId="0F63EE10">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val="en-US" w:eastAsia="zh-CN"/>
        </w:rPr>
        <w:t>单位</w:t>
      </w:r>
      <w:r>
        <w:rPr>
          <w:rFonts w:hint="eastAsia" w:ascii="黑体" w:hAnsi="黑体" w:eastAsia="黑体" w:cs="黑体"/>
          <w:sz w:val="32"/>
          <w:szCs w:val="32"/>
        </w:rPr>
        <w:t>基本情况</w:t>
      </w:r>
    </w:p>
    <w:p w14:paraId="19A1C262">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lang w:val="en-US" w:eastAsia="zh-CN"/>
        </w:rPr>
        <w:t>(一)主要</w:t>
      </w:r>
      <w:r>
        <w:rPr>
          <w:rFonts w:hint="eastAsia" w:ascii="楷体" w:hAnsi="楷体" w:eastAsia="楷体" w:cs="楷体"/>
          <w:b w:val="0"/>
          <w:bCs w:val="0"/>
          <w:sz w:val="32"/>
          <w:szCs w:val="32"/>
        </w:rPr>
        <w:t>职责</w:t>
      </w:r>
    </w:p>
    <w:p w14:paraId="12B42840">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兰州新区瑞岭雅苑社区卫生服务中心</w:t>
      </w:r>
      <w:r>
        <w:rPr>
          <w:rStyle w:val="10"/>
          <w:rFonts w:hint="eastAsia" w:ascii="仿宋_GB2312" w:hAnsi="仿宋_GB2312" w:eastAsia="仿宋_GB2312" w:cs="仿宋_GB2312"/>
          <w:b w:val="0"/>
          <w:bCs/>
          <w:i w:val="0"/>
          <w:caps w:val="0"/>
          <w:color w:val="333333"/>
          <w:spacing w:val="0"/>
          <w:sz w:val="28"/>
          <w:szCs w:val="28"/>
          <w:highlight w:val="none"/>
          <w:shd w:val="clear" w:fill="FFFFFF"/>
        </w:rPr>
        <w:t>为非营利性医疗机构，主要</w:t>
      </w: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承担</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瑞岭雅苑、翠园、引大家园等2.60万</w:t>
      </w: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居民的基本医疗服务和国家</w:t>
      </w:r>
      <w:r>
        <w:rPr>
          <w:rStyle w:val="10"/>
          <w:rFonts w:hint="eastAsia" w:ascii="仿宋_GB2312" w:hAnsi="仿宋_GB2312" w:eastAsia="仿宋_GB2312" w:cs="仿宋_GB2312"/>
          <w:b w:val="0"/>
          <w:bCs/>
          <w:i w:val="0"/>
          <w:caps w:val="0"/>
          <w:color w:val="333333"/>
          <w:spacing w:val="0"/>
          <w:sz w:val="28"/>
          <w:szCs w:val="28"/>
          <w:highlight w:val="none"/>
          <w:shd w:val="clear" w:fill="FFFFFF"/>
        </w:rPr>
        <w:t>基本公共卫生服务</w:t>
      </w: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项目实施工作</w:t>
      </w:r>
      <w:r>
        <w:rPr>
          <w:rStyle w:val="10"/>
          <w:rFonts w:hint="eastAsia" w:ascii="仿宋_GB2312" w:hAnsi="仿宋_GB2312" w:eastAsia="仿宋_GB2312" w:cs="仿宋_GB2312"/>
          <w:b w:val="0"/>
          <w:bCs/>
          <w:i w:val="0"/>
          <w:caps w:val="0"/>
          <w:color w:val="333333"/>
          <w:spacing w:val="0"/>
          <w:sz w:val="28"/>
          <w:szCs w:val="28"/>
          <w:highlight w:val="none"/>
          <w:shd w:val="clear" w:fill="FFFFFF"/>
        </w:rPr>
        <w:t>，</w:t>
      </w: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负责辖区人口的常见病、多发病的诊断治疗，并负责辖区内居民的传染预防控制和社区康复、预防接种，儿童、孕产妇、老年人等重点人群健康管理服务，公共场所卫生监督协管，</w:t>
      </w:r>
      <w:r>
        <w:rPr>
          <w:rStyle w:val="10"/>
          <w:rFonts w:hint="eastAsia" w:ascii="仿宋_GB2312" w:hAnsi="仿宋_GB2312" w:eastAsia="仿宋_GB2312" w:cs="仿宋_GB2312"/>
          <w:b w:val="0"/>
          <w:bCs/>
          <w:i w:val="0"/>
          <w:caps w:val="0"/>
          <w:color w:val="333333"/>
          <w:spacing w:val="0"/>
          <w:sz w:val="28"/>
          <w:szCs w:val="28"/>
          <w:highlight w:val="none"/>
          <w:shd w:val="clear" w:fill="FFFFFF"/>
        </w:rPr>
        <w:t>计划生育技术指导与</w:t>
      </w: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协助处置辖区内的突发公共卫生事件等基本职能</w:t>
      </w:r>
      <w:r>
        <w:rPr>
          <w:rStyle w:val="10"/>
          <w:rFonts w:hint="eastAsia" w:ascii="仿宋_GB2312" w:hAnsi="仿宋_GB2312" w:eastAsia="仿宋_GB2312" w:cs="仿宋_GB2312"/>
          <w:b w:val="0"/>
          <w:bCs/>
          <w:i w:val="0"/>
          <w:caps w:val="0"/>
          <w:color w:val="333333"/>
          <w:spacing w:val="0"/>
          <w:sz w:val="28"/>
          <w:szCs w:val="28"/>
          <w:highlight w:val="none"/>
          <w:shd w:val="clear" w:fill="FFFFFF"/>
        </w:rPr>
        <w:t>。</w:t>
      </w:r>
    </w:p>
    <w:p w14:paraId="51871B35">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（二）机构设置及人员情况</w:t>
      </w:r>
    </w:p>
    <w:p w14:paraId="6F2FAA73">
      <w:pPr>
        <w:pStyle w:val="7"/>
        <w:pageBreakBefore w:val="0"/>
        <w:shd w:val="clear" w:color="auto" w:fill="FFFFFF"/>
        <w:kinsoku/>
        <w:wordWrap/>
        <w:overflowPunct/>
        <w:topLinePunct w:val="0"/>
        <w:autoSpaceDE/>
        <w:autoSpaceDN/>
        <w:bidi w:val="0"/>
        <w:adjustRightInd/>
        <w:spacing w:beforeAutospacing="0" w:afterAutospacing="0" w:line="560" w:lineRule="exact"/>
        <w:ind w:firstLine="560" w:firstLineChars="200"/>
        <w:textAlignment w:val="auto"/>
        <w:rPr>
          <w:rFonts w:hint="eastAsia" w:ascii="仿宋_GB2312" w:hAnsi="仿宋_GB2312" w:eastAsia="仿宋_GB2312" w:cs="仿宋_GB2312"/>
          <w:color w:val="333333"/>
          <w:sz w:val="32"/>
          <w:szCs w:val="32"/>
          <w:lang w:eastAsia="zh-CN"/>
        </w:rPr>
      </w:pPr>
      <w:r>
        <w:rPr>
          <w:rStyle w:val="10"/>
          <w:rFonts w:hint="eastAsia" w:ascii="仿宋_GB2312" w:hAnsi="仿宋_GB2312" w:eastAsia="仿宋_GB2312" w:cs="仿宋_GB2312"/>
          <w:b w:val="0"/>
          <w:bCs/>
          <w:i w:val="0"/>
          <w:caps w:val="0"/>
          <w:color w:val="333333"/>
          <w:spacing w:val="0"/>
          <w:kern w:val="2"/>
          <w:sz w:val="28"/>
          <w:szCs w:val="28"/>
          <w:highlight w:val="none"/>
          <w:shd w:val="clear" w:fill="FFFFFF"/>
          <w:lang w:val="en-US" w:eastAsia="zh-CN" w:bidi="ar-SA"/>
        </w:rPr>
        <w:t>兰州新区瑞岭雅苑社区卫生服务中心内设15个科室，分别是办公室、财务科、医务科、护理部、内儿科、公卫科、妇科、中医科、预防接种科、放射科、B超室、检验科、口腔科、药房、收费室。2024年末兰州新区瑞岭雅苑社区卫生服务中心实有人数为95人，其中在编事业人数为55人，单位自聘人数为40人。</w:t>
      </w:r>
    </w:p>
    <w:p w14:paraId="22152864">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二、绩效自评工作组织开展情况</w:t>
      </w:r>
    </w:p>
    <w:p w14:paraId="48FFAE72">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为确实做好2024年度部门整体绩效自评工作，提高财政资金使用效益，根据《兰州新区财政金融和国有资金监督管理局关于做好兰州新区2024年部门决算公开工作的通知》（兰新财发〔2025〕81号）文件精神，结合实际，我单位组织成立了绩效评价工作小组，检查支出相关资料，并根据绩效自评材料进行分析、总结。</w:t>
      </w:r>
    </w:p>
    <w:p w14:paraId="17BE24E8">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部门整体支出绩效自评情况分析</w:t>
      </w:r>
    </w:p>
    <w:p w14:paraId="1B8F7BAA">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（一）部门决算情况</w:t>
      </w:r>
    </w:p>
    <w:p w14:paraId="463147CF">
      <w:pPr>
        <w:pageBreakBefore w:val="0"/>
        <w:kinsoku/>
        <w:wordWrap/>
        <w:overflowPunct/>
        <w:topLinePunct w:val="0"/>
        <w:autoSpaceDE/>
        <w:autoSpaceDN/>
        <w:bidi w:val="0"/>
        <w:adjustRightInd/>
        <w:spacing w:line="560" w:lineRule="exact"/>
        <w:ind w:firstLine="640" w:firstLineChars="200"/>
        <w:textAlignment w:val="auto"/>
        <w:rPr>
          <w:rStyle w:val="10"/>
          <w:rFonts w:hint="eastAsia" w:ascii="仿宋_GB2312" w:hAnsi="仿宋_GB2312" w:eastAsia="仿宋_GB2312" w:cs="仿宋_GB2312"/>
          <w:b w:val="0"/>
          <w:bCs/>
          <w:i w:val="0"/>
          <w:caps w:val="0"/>
          <w:color w:val="333333"/>
          <w:spacing w:val="0"/>
          <w:sz w:val="32"/>
          <w:szCs w:val="32"/>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32"/>
          <w:szCs w:val="32"/>
          <w:highlight w:val="none"/>
          <w:shd w:val="clear" w:fill="FFFFFF"/>
          <w:lang w:val="en-US" w:eastAsia="zh-CN"/>
        </w:rPr>
        <w:t>1.2024年度收入决算情况</w:t>
      </w:r>
    </w:p>
    <w:p w14:paraId="16D32D79">
      <w:pPr>
        <w:pStyle w:val="7"/>
        <w:keepNext w:val="0"/>
        <w:keepLines w:val="0"/>
        <w:widowControl/>
        <w:suppressLineNumbers w:val="0"/>
        <w:spacing w:beforeAutospacing="1" w:afterAutospacing="1"/>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2024年度一般公共预算财政拨款总收入1515.63万元，其中年初预算数1194.0</w:t>
      </w:r>
      <w:r>
        <w:rPr>
          <w:rFonts w:hint="eastAsia" w:ascii="仿宋_GB2312" w:hAnsi="仿宋_GB2312" w:eastAsia="仿宋_GB2312" w:cs="仿宋_GB2312"/>
          <w:sz w:val="32"/>
          <w:szCs w:val="32"/>
          <w:lang w:eastAsia="zh-CN"/>
        </w:rPr>
        <w:t>0万元</w:t>
      </w:r>
      <w:r>
        <w:rPr>
          <w:rFonts w:hint="eastAsia" w:ascii="仿宋_GB2312" w:hAnsi="仿宋_GB2312" w:eastAsia="仿宋_GB2312" w:cs="仿宋_GB2312"/>
          <w:sz w:val="32"/>
          <w:szCs w:val="32"/>
        </w:rPr>
        <w:t xml:space="preserve">，全年预算数1515.63万元，调整预算数321.63万元。 </w:t>
      </w:r>
    </w:p>
    <w:p w14:paraId="41E2CC14">
      <w:pPr>
        <w:pStyle w:val="7"/>
        <w:keepNext w:val="0"/>
        <w:keepLines w:val="0"/>
        <w:widowControl/>
        <w:suppressLineNumbers w:val="0"/>
        <w:spacing w:beforeAutospacing="1" w:afterAutospacing="1"/>
        <w:ind w:firstLine="640" w:firstLineChars="200"/>
        <w:rPr>
          <w:rStyle w:val="10"/>
          <w:rFonts w:hint="default" w:ascii="仿宋_GB2312" w:hAnsi="仿宋_GB2312" w:eastAsia="仿宋_GB2312" w:cs="仿宋_GB2312"/>
          <w:b w:val="0"/>
          <w:bCs/>
          <w:i w:val="0"/>
          <w:caps w:val="0"/>
          <w:color w:val="333333"/>
          <w:spacing w:val="0"/>
          <w:sz w:val="32"/>
          <w:szCs w:val="32"/>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32"/>
          <w:szCs w:val="32"/>
          <w:highlight w:val="none"/>
          <w:shd w:val="clear" w:fill="FFFFFF"/>
          <w:lang w:val="en-US" w:eastAsia="zh-CN"/>
        </w:rPr>
        <w:t>2.2024年度支出决算情况</w:t>
      </w:r>
    </w:p>
    <w:p w14:paraId="270FB422">
      <w:pPr>
        <w:pStyle w:val="7"/>
        <w:keepNext w:val="0"/>
        <w:keepLines w:val="0"/>
        <w:widowControl/>
        <w:suppressLineNumbers w:val="0"/>
        <w:spacing w:beforeAutospacing="1" w:afterAutospacing="1"/>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2024年度一般公共预算财政拨款支出合计1372.12万元，其中： </w:t>
      </w:r>
    </w:p>
    <w:p w14:paraId="59A9D44F">
      <w:pPr>
        <w:pStyle w:val="7"/>
        <w:keepNext w:val="0"/>
        <w:keepLines w:val="0"/>
        <w:widowControl/>
        <w:suppressLineNumbers w:val="0"/>
        <w:spacing w:beforeAutospacing="1" w:afterAutospacing="1"/>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基本支出867.46万元，占总支出63.21%；基本支出中人员经费820.23万元，占基本支出94.56%，公用经费47.23万元，占基本支出5.44%。 </w:t>
      </w:r>
    </w:p>
    <w:p w14:paraId="196B674E">
      <w:pPr>
        <w:pStyle w:val="7"/>
        <w:keepNext w:val="0"/>
        <w:keepLines w:val="0"/>
        <w:widowControl/>
        <w:suppressLineNumbers w:val="0"/>
        <w:spacing w:beforeAutospacing="1" w:afterAutospacing="1"/>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项目支出504.67万元，占总支出36.79%，其中重点项目支出504.67万元，一般性项目支出</w:t>
      </w:r>
      <w:r>
        <w:rPr>
          <w:rFonts w:hint="eastAsia" w:ascii="仿宋_GB2312" w:hAnsi="仿宋_GB2312" w:eastAsia="仿宋_GB2312" w:cs="仿宋_GB2312"/>
          <w:sz w:val="32"/>
          <w:szCs w:val="32"/>
          <w:lang w:eastAsia="zh-CN"/>
        </w:rPr>
        <w:t>0.00万元</w:t>
      </w:r>
      <w:r>
        <w:rPr>
          <w:rFonts w:hint="eastAsia" w:ascii="仿宋_GB2312" w:hAnsi="仿宋_GB2312" w:eastAsia="仿宋_GB2312" w:cs="仿宋_GB2312"/>
          <w:sz w:val="32"/>
          <w:szCs w:val="32"/>
        </w:rPr>
        <w:t xml:space="preserve">。 </w:t>
      </w:r>
    </w:p>
    <w:p w14:paraId="5BCDEAE2">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（二）总体绩效目标完成情况分析</w:t>
      </w:r>
    </w:p>
    <w:p w14:paraId="2E002E88">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1.总体绩效目标</w:t>
      </w:r>
    </w:p>
    <w:p w14:paraId="1D8CB6D4">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目标1：保证2024年度人员工资、社保正常发放；</w:t>
      </w:r>
    </w:p>
    <w:p w14:paraId="175B862E">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目标2：保证2024年度医院各项工作开展；</w:t>
      </w:r>
    </w:p>
    <w:p w14:paraId="10A20A0A">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目标3：为辖区城乡居民免费提供基本公共卫生服务，建立健全均等化服务体系；</w:t>
      </w:r>
    </w:p>
    <w:p w14:paraId="7E453AB3">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目标4：全力发展医疗业务，医疗收入实现稳步提升。</w:t>
      </w:r>
    </w:p>
    <w:p w14:paraId="1740A7D9">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2.完成情况分析</w:t>
      </w:r>
    </w:p>
    <w:p w14:paraId="49312A88">
      <w:pPr>
        <w:pageBreakBefore w:val="0"/>
        <w:kinsoku/>
        <w:wordWrap/>
        <w:overflowPunct/>
        <w:topLinePunct w:val="0"/>
        <w:autoSpaceDE/>
        <w:autoSpaceDN/>
        <w:bidi w:val="0"/>
        <w:adjustRightInd/>
        <w:spacing w:line="560" w:lineRule="exact"/>
        <w:ind w:firstLine="560" w:firstLineChars="200"/>
        <w:textAlignment w:val="auto"/>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目标1完成情况：</w:t>
      </w:r>
      <w:r>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t>人员经费支出</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820.23</w:t>
      </w:r>
      <w:r>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t>万元；公用经费支出</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47.23</w:t>
      </w:r>
      <w:r>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t>万元</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；项目支出经费504.67万元；完成缴纳单位公卫专干五险一金单位部分，为职工解决后顾之忧，提高基层医疗机构服务能力。</w:t>
      </w:r>
    </w:p>
    <w:p w14:paraId="792493CC">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目标2完成情况：建立健全各项规章制度，单位班子及医护队伍，团结务实，职责分明，能够相互配合，协调一致；</w:t>
      </w:r>
    </w:p>
    <w:p w14:paraId="071EFD7A">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3完成情况：2024年新建居民健康档案3987份，建档率101%。其中高血压体检1019人，糖尿病体检313人，0-6岁儿童免费体检3329人次，儿童中医药健康指导1648人次，早孕建册382人，结案260人，产后访视254人次，产后访视率98%。新增严重精神障碍患者健康档案11份，规范管理率96%。老年人体检1026人，老年人中医体质辨识1026人次。肺结核患者入户随访26次，举办健康教育知识讲座37次，健康咨询活动19次，个体化健康教育41837人次，发放各类宣传材料48960余份，更换宣传栏内容6次，自制健康教育宣传小视频9个，秋季传染病宣传进学校13所26次，开具死亡证明15份，叶酸服用随访232人次，完成二次供水巡查、诊所巡查，并建立巡查档案，下发巡查意见书等，联合中川园区卫生监督所完成公共场所巡查8次，上报传染病例18例；</w:t>
      </w:r>
    </w:p>
    <w:p w14:paraId="06B3F77D">
      <w:pPr>
        <w:pStyle w:val="7"/>
        <w:keepNext w:val="0"/>
        <w:keepLines w:val="0"/>
        <w:widowControl/>
        <w:suppressLineNumbers w:val="0"/>
        <w:spacing w:beforeAutospacing="1" w:afterAutospacing="1"/>
        <w:ind w:left="0" w:leftChars="0" w:firstLine="560" w:firstLineChars="200"/>
        <w:rPr>
          <w:rFonts w:hint="eastAsia" w:ascii="仿宋_GB2312" w:hAnsi="仿宋_GB2312" w:eastAsia="仿宋_GB2312" w:cs="仿宋_GB2312"/>
          <w:sz w:val="32"/>
          <w:szCs w:val="32"/>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目标4完成情况：</w:t>
      </w:r>
      <w:r>
        <w:rPr>
          <w:rFonts w:hint="eastAsia" w:ascii="仿宋_GB2312" w:hAnsi="仿宋_GB2312" w:eastAsia="仿宋_GB2312" w:cs="仿宋_GB2312"/>
          <w:sz w:val="32"/>
          <w:szCs w:val="32"/>
        </w:rPr>
        <w:t>2024年度事业收入达662.47万元，较上年稳步提升，主要得益于辖区2.6</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万居民基本医疗需求释放，以及内儿、中医、口腔等临床科室诊疗量增长（如0-6岁儿童体检3329人次、老年人体检1026人次等）， 家庭医生签约服务（完成1.73万份，覆盖率96.11%）也有效引导居民在本中心首诊，带动常规诊疗收入增加。 </w:t>
      </w:r>
    </w:p>
    <w:p w14:paraId="2749E6B7">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（三）各项指标完成情况分析</w:t>
      </w:r>
    </w:p>
    <w:p w14:paraId="7F6510FA">
      <w:pPr>
        <w:pStyle w:val="7"/>
        <w:keepNext w:val="0"/>
        <w:keepLines w:val="0"/>
        <w:widowControl/>
        <w:numPr>
          <w:ilvl w:val="0"/>
          <w:numId w:val="0"/>
        </w:numPr>
        <w:suppressLineNumbers w:val="0"/>
        <w:spacing w:beforeAutospacing="1" w:afterAutospacing="1"/>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根据本次自评工作要求，我单位结合2024年度履职工作实际，从部门整体支出、部门管理、履职效果、能力建设</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个方面开展部门整体支出绩效自评。经对各项履职工作相关资料的整理、汇总分析，综合评分为95.14分。各项指标完成情况分析如下：</w:t>
      </w:r>
    </w:p>
    <w:p w14:paraId="21962FC6">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部门整体支出</w:t>
      </w:r>
    </w:p>
    <w:p w14:paraId="2E253729">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整体支出指标分值10分，2024年度我单位整体支出年初预算数为1194.00万元，全年预算数为1515.63万元，调整预算数为321.63万元（全年预算数-年初预算数），实际支出数为1372.12万元，执行率为90.53%，指标得分为9.05分。</w:t>
      </w:r>
    </w:p>
    <w:p w14:paraId="79EA57FC">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单位整体实际支出数未达全年预算数的原因是：</w:t>
      </w:r>
    </w:p>
    <w:p w14:paraId="1D3E2421">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人员经费中部分绩效奖金未发放，导致人员经费执行率为87.9%；</w:t>
      </w:r>
    </w:p>
    <w:p w14:paraId="7A13903A">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公用经费中培训费未支付完毕，执行率为98.71%；</w:t>
      </w:r>
    </w:p>
    <w:p w14:paraId="1B37DCA4">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“2024年急救运转经费（本级）”项目30万元救护车购置资金因无急救车辆编制未执行，导致项目支出执行率为94.38%。</w:t>
      </w:r>
    </w:p>
    <w:p w14:paraId="067C3259">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部门管理</w:t>
      </w:r>
    </w:p>
    <w:p w14:paraId="4E7D77AC">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部门管理指标分值20分，从资金投入、财务管理、采购管理、资产管理、人员管理及重点工作管理六方面对我单位2024年度部门管理情况进行自评分析，得分为18.77分。</w:t>
      </w:r>
    </w:p>
    <w:p w14:paraId="1C759F5B">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资金投入（指标分值8分，得分7.56分）</w:t>
      </w:r>
    </w:p>
    <w:p w14:paraId="62285CA4">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基本支出预算执行率：年度指标值为100%，实际完成值87.9%，得分1.76分。未达标的原因是部分绩效奖金未支付。</w:t>
      </w:r>
    </w:p>
    <w:p w14:paraId="47EABADA">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结转结余变动率：年度指标值为≤0%，实际完成值0%，得分2分。</w:t>
      </w:r>
    </w:p>
    <w:p w14:paraId="519C451C">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“三公”经费控制率：年度指标值为≤100%，实际完成值78.49%，得分2分。</w:t>
      </w:r>
    </w:p>
    <w:p w14:paraId="365F3A80">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项目支出预算执行率：年度指标值为≤100%，实际完成值94.38%，得分1.8分。未达标的原因是30万购置救护车辆经费未支付。</w:t>
      </w:r>
    </w:p>
    <w:p w14:paraId="6E7C9B06">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财务管理（指标分值4分，得分3.6分）</w:t>
      </w:r>
    </w:p>
    <w:p w14:paraId="4F7BEF16">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财务管理制度健全性：年度指标值为健全，实际完成值100%-80%(含)，得分1.8分。未得满分的原因是在财务管理的细节上需进一步完善。</w:t>
      </w:r>
    </w:p>
    <w:p w14:paraId="6D8443AB">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资金使用规范性：年度指标值为规范，实际完成值100%-80%(含)，得分1.8分。未得满分的原因是凭证资料不齐全。</w:t>
      </w:r>
    </w:p>
    <w:p w14:paraId="5097AC07">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采购管理（指标分值2分，得分1.8分）</w:t>
      </w:r>
    </w:p>
    <w:p w14:paraId="40EBF700">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政府采购规范性：年度指标值为规范，实际完成值100%-80%(含)，得分1.8分。未得满分的原因是采购支付时间滞后。</w:t>
      </w:r>
    </w:p>
    <w:p w14:paraId="52FC6FE8">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人员管理（指标分值2分，得分2分）</w:t>
      </w:r>
    </w:p>
    <w:p w14:paraId="0298AB26">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在职人员控制率：年度指标值为≤100%，实际完成值100%，得分2分。</w:t>
      </w:r>
    </w:p>
    <w:p w14:paraId="75D32E5F">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重点工作管理（指标分值2分，得分1.8分）</w:t>
      </w:r>
    </w:p>
    <w:p w14:paraId="3921547A">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重点工作管理制度健全性：年度指标值为健全，实际完成值100%-80%(含)，得分1.8分。未得满分的原因是重点工作管理制度不够健全，需完善。</w:t>
      </w:r>
    </w:p>
    <w:p w14:paraId="5510A405">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 资产管理（指标分值2分，得分1.8分）</w:t>
      </w:r>
    </w:p>
    <w:p w14:paraId="261939FC">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产管理规范性：年度指标值为规范，实际完成值100%-80%(含)，得分1.8分。未得满分的原因是我单位成立于2018年11月初，单位的固定资产由上级主管部门兰州新区卫生健康委员会进行调拨使用，账面上的部分固定资产外借于其他卫生院，我单位今后严格加强固定资产使用管理。</w:t>
      </w:r>
    </w:p>
    <w:p w14:paraId="0F9555F3">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履职效果</w:t>
      </w:r>
    </w:p>
    <w:p w14:paraId="5135C689">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履职指标分值59分，目标指标根据我单位工作职责及年度工作安排，从疫情防控完成情况、卫生健康知识普及情况、患者就医情况、卫生监督覆盖率、家庭医生签约服务完成率、健康档案建立覆盖率、维护基本公卫安全、提升医疗服务水平、推进医药卫生体制改革、违法违纪情况、单位获奖情况、医务人员满意度、群众满意度、党建工作完成情况等方面对我单位2024年度部门履职工作完成情况进行分析说明，得分为55.29分。</w:t>
      </w:r>
    </w:p>
    <w:p w14:paraId="3802679D">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部门履职目标（指标分值37.53分，得分37.53分）</w:t>
      </w:r>
    </w:p>
    <w:p w14:paraId="2097C7D0">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健康档案建立覆盖率：年度指标值为≥85%，实际完成值85%，得分4.17分。</w:t>
      </w:r>
    </w:p>
    <w:p w14:paraId="2764C938">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家庭医生签约服务完成率：年度指标值为≥80%，实际完成值80%，得分4.17分。</w:t>
      </w:r>
    </w:p>
    <w:p w14:paraId="1C1C3132">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卫生监督覆盖率：年度指标值为=100%，实际完成值100%，得分4.17分。</w:t>
      </w:r>
    </w:p>
    <w:p w14:paraId="58D7C243">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患者就医情况：年度指标值为≥85%，实际完成值85%，得分4.17分。</w:t>
      </w:r>
    </w:p>
    <w:p w14:paraId="28372AFE">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卫生健康知识普及情况：年度指标值为≥80%，实际完成值80%，得分4.17分。</w:t>
      </w:r>
    </w:p>
    <w:p w14:paraId="7725A5B6">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疫情防控完成情况：年度指标值为=100%，实际完成值100%，得分4.17分。</w:t>
      </w:r>
    </w:p>
    <w:p w14:paraId="1BB1CC50">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党建工作完成情况：年度指标值为≥98%，实际完成值98%，得分4.17分。</w:t>
      </w:r>
    </w:p>
    <w:p w14:paraId="1807199E">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部门效果目标（指标分值12.51分，得分11.25分）</w:t>
      </w:r>
    </w:p>
    <w:p w14:paraId="1FBEE40A">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维护基本公卫安全：年度指标值为提高，实际完成值100%-80%(含)，得分3.75分。</w:t>
      </w:r>
    </w:p>
    <w:p w14:paraId="05CA386C">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提升医疗服务水平：年度指标值为逐年提升，实际完成值100%-80%(含)，得分3.75分。</w:t>
      </w:r>
    </w:p>
    <w:p w14:paraId="06A7D7D5">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推进医药卫生体制改革：年度指标值为推进，实际完成值100%-80%(含)，得分3.75分。</w:t>
      </w:r>
    </w:p>
    <w:p w14:paraId="063C4C41">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社会影响（指标分值8.47分，得分7.88分）</w:t>
      </w:r>
    </w:p>
    <w:p w14:paraId="6D20C235">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违法违纪情况：年度指标值为杜绝发生，实际完成值100%-80%(含)，得分3.75分。</w:t>
      </w:r>
    </w:p>
    <w:p w14:paraId="182BC1F3">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单位获奖情况：年度指标值为≥1次，实际完成值1次，得分4.13分。</w:t>
      </w:r>
    </w:p>
    <w:p w14:paraId="3D885839">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服务对象满意度（指标分值10分，得分10分）</w:t>
      </w:r>
    </w:p>
    <w:p w14:paraId="4C5ED80B">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医务人员满意度：年度指标值为≥90%，实际完成值90%，得分5分。</w:t>
      </w:r>
    </w:p>
    <w:p w14:paraId="0CF23EE2">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群众满意度：年度指标值为≥90%，实际完成值90%，得分5分。</w:t>
      </w:r>
    </w:p>
    <w:p w14:paraId="3BAA20D3">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能力建设</w:t>
      </w:r>
    </w:p>
    <w:p w14:paraId="689FBD55">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能力建设指标分值11分，从长效管理、组织建设、信息化建设情况、人力资源建设、档案管理五方面对我单位2024年度能力建设情况进行自评分析，得分为9.01分。</w:t>
      </w:r>
    </w:p>
    <w:p w14:paraId="23B84732">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长效管理（指标分值3.33分，得分3分）</w:t>
      </w:r>
    </w:p>
    <w:p w14:paraId="4921EFDA">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有长效部门管理机制：年度指标值为有，实际完成值100%-80%(含)，得分3分。未得满分的原因是监督反馈细节的长期落实中存在不足。</w:t>
      </w:r>
    </w:p>
    <w:p w14:paraId="63DAE845">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人力资源建设（指标分值3.33分，得分3分）</w:t>
      </w:r>
    </w:p>
    <w:p w14:paraId="7D68A58A">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人员培训机制完备性：年度指标值为不断完善，实际完成值100%-80%(含)，得分3分。未得满分的原因是人才储备数量与质量存在上升空间。</w:t>
      </w:r>
    </w:p>
    <w:p w14:paraId="0259E195">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档案管理（指标分值3.34分，得分3.01分）</w:t>
      </w:r>
    </w:p>
    <w:p w14:paraId="2E3BAB1A">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档案管理完备性：年度指标值为不断完善，实际完成值100%-80%(含)，得分3.01分。未得满分的原因是档案分类的精细度存在欠缺。</w:t>
      </w:r>
    </w:p>
    <w:p w14:paraId="20168174">
      <w:pPr>
        <w:pageBreakBefore w:val="0"/>
        <w:kinsoku/>
        <w:wordWrap/>
        <w:overflowPunct/>
        <w:topLinePunct w:val="0"/>
        <w:autoSpaceDE/>
        <w:autoSpaceDN/>
        <w:bidi w:val="0"/>
        <w:adjustRightInd/>
        <w:spacing w:line="560" w:lineRule="exact"/>
        <w:ind w:firstLine="640" w:firstLineChars="200"/>
        <w:textAlignment w:val="auto"/>
        <w:rPr>
          <w:rStyle w:val="10"/>
          <w:rFonts w:hint="eastAsia" w:ascii="仿宋_GB2312" w:hAnsi="仿宋_GB2312" w:eastAsia="仿宋_GB2312" w:cs="仿宋_GB2312"/>
          <w:b w:val="0"/>
          <w:bCs/>
          <w:i w:val="0"/>
          <w:caps w:val="0"/>
          <w:color w:val="333333"/>
          <w:spacing w:val="0"/>
          <w:sz w:val="32"/>
          <w:szCs w:val="32"/>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32"/>
          <w:szCs w:val="32"/>
          <w:highlight w:val="none"/>
          <w:shd w:val="clear" w:fill="FFFFFF"/>
          <w:lang w:val="en-US" w:eastAsia="zh-CN"/>
        </w:rPr>
        <w:t>根据本次绩效自评工作的要求及相关文件规定，对各项指标完成情况进行分析总结，明确改进措施。将相关结果与进度安排及时反馈各实施部门，明确整改时限并上报相关整改情况，接受监督检查。</w:t>
      </w:r>
    </w:p>
    <w:p w14:paraId="17D0C8F9">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四、其他需要说明的问题</w:t>
      </w:r>
    </w:p>
    <w:p w14:paraId="6F08D561">
      <w:pPr>
        <w:pageBreakBefore w:val="0"/>
        <w:kinsoku/>
        <w:wordWrap/>
        <w:overflowPunct/>
        <w:topLinePunct w:val="0"/>
        <w:autoSpaceDE/>
        <w:autoSpaceDN/>
        <w:bidi w:val="0"/>
        <w:adjustRightInd/>
        <w:spacing w:line="560" w:lineRule="exact"/>
        <w:ind w:firstLine="640" w:firstLineChars="200"/>
        <w:textAlignment w:val="auto"/>
        <w:rPr>
          <w:rStyle w:val="10"/>
          <w:rFonts w:hint="eastAsia" w:ascii="仿宋_GB2312" w:hAnsi="仿宋_GB2312" w:eastAsia="仿宋_GB2312" w:cs="仿宋_GB2312"/>
          <w:b w:val="0"/>
          <w:bCs/>
          <w:i w:val="0"/>
          <w:caps w:val="0"/>
          <w:color w:val="333333"/>
          <w:spacing w:val="0"/>
          <w:sz w:val="32"/>
          <w:szCs w:val="32"/>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32"/>
          <w:szCs w:val="32"/>
          <w:highlight w:val="none"/>
          <w:shd w:val="clear" w:fill="FFFFFF"/>
          <w:lang w:val="en-US" w:eastAsia="zh-CN"/>
        </w:rPr>
        <w:t>本次绩效自评无其他需要说明的问题。</w:t>
      </w:r>
      <w:bookmarkStart w:id="0" w:name="_GoBack"/>
      <w:bookmarkEnd w:id="0"/>
    </w:p>
    <w:p w14:paraId="238B1E09">
      <w:pPr>
        <w:pageBreakBefore w:val="0"/>
        <w:kinsoku/>
        <w:wordWrap/>
        <w:overflowPunct/>
        <w:topLinePunct w:val="0"/>
        <w:autoSpaceDE/>
        <w:autoSpaceDN/>
        <w:bidi w:val="0"/>
        <w:adjustRightInd/>
        <w:spacing w:line="560" w:lineRule="exact"/>
        <w:ind w:firstLine="2800" w:firstLineChars="1000"/>
        <w:textAlignment w:val="auto"/>
        <w:rPr>
          <w:rFonts w:hint="eastAsia" w:ascii="仿宋_GB2312" w:hAnsi="仿宋_GB2312" w:eastAsia="仿宋_GB2312" w:cs="仿宋_GB2312"/>
          <w:b w:val="0"/>
          <w:bCs w:val="0"/>
          <w:sz w:val="28"/>
          <w:szCs w:val="28"/>
          <w:lang w:val="en-US" w:eastAsia="zh-CN"/>
        </w:rPr>
      </w:pPr>
    </w:p>
    <w:p w14:paraId="08FD4B54">
      <w:pPr>
        <w:pageBreakBefore w:val="0"/>
        <w:kinsoku/>
        <w:wordWrap/>
        <w:overflowPunct/>
        <w:topLinePunct w:val="0"/>
        <w:autoSpaceDE/>
        <w:autoSpaceDN/>
        <w:bidi w:val="0"/>
        <w:adjustRightInd/>
        <w:spacing w:line="560" w:lineRule="exact"/>
        <w:ind w:firstLine="2800" w:firstLineChars="1000"/>
        <w:textAlignment w:val="auto"/>
        <w:rPr>
          <w:rFonts w:hint="eastAsia" w:ascii="仿宋_GB2312" w:hAnsi="仿宋_GB2312" w:eastAsia="仿宋_GB2312" w:cs="仿宋_GB2312"/>
          <w:b w:val="0"/>
          <w:bCs w:val="0"/>
          <w:sz w:val="28"/>
          <w:szCs w:val="28"/>
          <w:lang w:val="en-US" w:eastAsia="zh-CN"/>
        </w:rPr>
      </w:pPr>
    </w:p>
    <w:p w14:paraId="0E84895B">
      <w:pPr>
        <w:pageBreakBefore w:val="0"/>
        <w:kinsoku/>
        <w:wordWrap/>
        <w:overflowPunct/>
        <w:topLinePunct w:val="0"/>
        <w:autoSpaceDE/>
        <w:autoSpaceDN/>
        <w:bidi w:val="0"/>
        <w:adjustRightInd/>
        <w:spacing w:line="560" w:lineRule="exact"/>
        <w:ind w:firstLine="2800" w:firstLineChars="1000"/>
        <w:textAlignment w:val="auto"/>
        <w:rPr>
          <w:rFonts w:hint="eastAsia" w:ascii="仿宋_GB2312" w:hAnsi="仿宋_GB2312" w:eastAsia="仿宋_GB2312" w:cs="仿宋_GB2312"/>
          <w:b w:val="0"/>
          <w:bCs w:val="0"/>
          <w:sz w:val="28"/>
          <w:szCs w:val="28"/>
          <w:lang w:val="en-US" w:eastAsia="zh-CN"/>
        </w:rPr>
      </w:pPr>
    </w:p>
    <w:p w14:paraId="5134CC02">
      <w:pPr>
        <w:pageBreakBefore w:val="0"/>
        <w:kinsoku/>
        <w:wordWrap/>
        <w:overflowPunct/>
        <w:topLinePunct w:val="0"/>
        <w:autoSpaceDE/>
        <w:autoSpaceDN/>
        <w:bidi w:val="0"/>
        <w:adjustRightInd/>
        <w:spacing w:line="560" w:lineRule="exact"/>
        <w:ind w:firstLine="4200" w:firstLineChars="1500"/>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兰州新区瑞岭雅苑社区卫生服务中心</w:t>
      </w:r>
    </w:p>
    <w:p w14:paraId="255B18A2">
      <w:pPr>
        <w:pageBreakBefore w:val="0"/>
        <w:kinsoku/>
        <w:wordWrap/>
        <w:overflowPunct/>
        <w:topLinePunct w:val="0"/>
        <w:autoSpaceDE/>
        <w:autoSpaceDN/>
        <w:bidi w:val="0"/>
        <w:adjustRightInd/>
        <w:spacing w:line="560" w:lineRule="exact"/>
        <w:ind w:firstLine="4760" w:firstLineChars="17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2025年9月22日</w:t>
      </w:r>
    </w:p>
    <w:sectPr>
      <w:footerReference r:id="rId3" w:type="default"/>
      <w:pgSz w:w="11906" w:h="16838"/>
      <w:pgMar w:top="1701" w:right="1417" w:bottom="1701" w:left="1417" w:header="964"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36D2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355452">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9355452">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65064"/>
    <w:multiLevelType w:val="multilevel"/>
    <w:tmpl w:val="59A65064"/>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tabs>
          <w:tab w:val="left" w:pos="0"/>
        </w:tabs>
        <w:ind w:left="0" w:firstLine="400"/>
      </w:pPr>
      <w:rPr>
        <w:rFonts w:hint="eastAsia" w:ascii="宋体" w:hAnsi="宋体" w:eastAsia="宋体" w:cs="宋体"/>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pStyle w:val="2"/>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ZmFmMmJlY2MwZjAyMzJhYWZlOTdlNDUxYjk3ZTgifQ=="/>
  </w:docVars>
  <w:rsids>
    <w:rsidRoot w:val="57764F14"/>
    <w:rsid w:val="000049D8"/>
    <w:rsid w:val="000E5DF2"/>
    <w:rsid w:val="0022685A"/>
    <w:rsid w:val="002B42F1"/>
    <w:rsid w:val="002F0A30"/>
    <w:rsid w:val="004306E3"/>
    <w:rsid w:val="004E0E53"/>
    <w:rsid w:val="00500157"/>
    <w:rsid w:val="00600035"/>
    <w:rsid w:val="00736C3E"/>
    <w:rsid w:val="00745A5A"/>
    <w:rsid w:val="007D54CB"/>
    <w:rsid w:val="007F6879"/>
    <w:rsid w:val="009B4203"/>
    <w:rsid w:val="00AD4832"/>
    <w:rsid w:val="00BE409E"/>
    <w:rsid w:val="00BE60B3"/>
    <w:rsid w:val="00DE687B"/>
    <w:rsid w:val="00E2538C"/>
    <w:rsid w:val="00E679A0"/>
    <w:rsid w:val="00ED6B80"/>
    <w:rsid w:val="00F04304"/>
    <w:rsid w:val="025C79C4"/>
    <w:rsid w:val="030E31E0"/>
    <w:rsid w:val="049F7F22"/>
    <w:rsid w:val="066E1317"/>
    <w:rsid w:val="0AA7129C"/>
    <w:rsid w:val="0C713CD3"/>
    <w:rsid w:val="0CC17B02"/>
    <w:rsid w:val="0DB56175"/>
    <w:rsid w:val="0E9D13DC"/>
    <w:rsid w:val="10FB5E9E"/>
    <w:rsid w:val="15D55660"/>
    <w:rsid w:val="192C0D62"/>
    <w:rsid w:val="199B7DBD"/>
    <w:rsid w:val="1C11628B"/>
    <w:rsid w:val="1C2A4806"/>
    <w:rsid w:val="1CCC06EE"/>
    <w:rsid w:val="1E6A5362"/>
    <w:rsid w:val="27BB3C8C"/>
    <w:rsid w:val="2948594C"/>
    <w:rsid w:val="2F093B3C"/>
    <w:rsid w:val="2F193C67"/>
    <w:rsid w:val="2F9C7D7E"/>
    <w:rsid w:val="30D065A7"/>
    <w:rsid w:val="3112096E"/>
    <w:rsid w:val="31C23E0E"/>
    <w:rsid w:val="3298689E"/>
    <w:rsid w:val="33641498"/>
    <w:rsid w:val="33767FA4"/>
    <w:rsid w:val="33D378E6"/>
    <w:rsid w:val="360A4309"/>
    <w:rsid w:val="37A662B4"/>
    <w:rsid w:val="3938734E"/>
    <w:rsid w:val="3B6379DA"/>
    <w:rsid w:val="3E785B47"/>
    <w:rsid w:val="42A64645"/>
    <w:rsid w:val="434F77FF"/>
    <w:rsid w:val="4A1470AD"/>
    <w:rsid w:val="4F0A0A7E"/>
    <w:rsid w:val="53807CC7"/>
    <w:rsid w:val="54907728"/>
    <w:rsid w:val="57764F14"/>
    <w:rsid w:val="5B3255E5"/>
    <w:rsid w:val="5CC2518D"/>
    <w:rsid w:val="5F16521D"/>
    <w:rsid w:val="62143C96"/>
    <w:rsid w:val="626C5880"/>
    <w:rsid w:val="69870C3F"/>
    <w:rsid w:val="6A9736B6"/>
    <w:rsid w:val="6B680BAF"/>
    <w:rsid w:val="6E29772C"/>
    <w:rsid w:val="6FCD38F6"/>
    <w:rsid w:val="7107638D"/>
    <w:rsid w:val="727E21C1"/>
    <w:rsid w:val="73FC32EF"/>
    <w:rsid w:val="74E96658"/>
    <w:rsid w:val="75440CCF"/>
    <w:rsid w:val="75AF0683"/>
    <w:rsid w:val="764861AD"/>
    <w:rsid w:val="7A0C25B9"/>
    <w:rsid w:val="7BC55198"/>
    <w:rsid w:val="7C1B64F9"/>
    <w:rsid w:val="7EBD2A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unhideWhenUsed/>
    <w:qFormat/>
    <w:uiPriority w:val="0"/>
    <w:pPr>
      <w:keepNext/>
      <w:keepLines/>
      <w:numPr>
        <w:ilvl w:val="5"/>
        <w:numId w:val="1"/>
      </w:numPr>
      <w:spacing w:line="317" w:lineRule="auto"/>
      <w:outlineLvl w:val="5"/>
    </w:pPr>
    <w:rPr>
      <w:rFonts w:ascii="Arial" w:hAnsi="Arial" w:eastAsia="宋体"/>
      <w:b/>
      <w:sz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35"/>
    <w:qFormat/>
    <w:uiPriority w:val="0"/>
    <w:rPr>
      <w:sz w:val="18"/>
      <w:szCs w:val="18"/>
    </w:rPr>
  </w:style>
  <w:style w:type="paragraph" w:styleId="4">
    <w:name w:val="footer"/>
    <w:basedOn w:val="1"/>
    <w:link w:val="34"/>
    <w:qFormat/>
    <w:uiPriority w:val="0"/>
    <w:pPr>
      <w:tabs>
        <w:tab w:val="center" w:pos="4153"/>
        <w:tab w:val="right" w:pos="8306"/>
      </w:tabs>
      <w:snapToGrid w:val="0"/>
      <w:jc w:val="left"/>
    </w:pPr>
    <w:rPr>
      <w:sz w:val="18"/>
      <w:szCs w:val="18"/>
    </w:rPr>
  </w:style>
  <w:style w:type="paragraph" w:styleId="5">
    <w:name w:val="header"/>
    <w:basedOn w:val="1"/>
    <w:next w:val="1"/>
    <w:link w:val="33"/>
    <w:qFormat/>
    <w:uiPriority w:val="0"/>
    <w:pPr>
      <w:pBdr>
        <w:bottom w:val="single" w:color="auto" w:sz="6" w:space="1"/>
      </w:pBdr>
      <w:tabs>
        <w:tab w:val="center" w:pos="4153"/>
        <w:tab w:val="right" w:pos="8306"/>
      </w:tabs>
      <w:snapToGrid w:val="0"/>
      <w:jc w:val="center"/>
    </w:pPr>
    <w:rPr>
      <w:sz w:val="18"/>
      <w:szCs w:val="18"/>
    </w:rPr>
  </w:style>
  <w:style w:type="paragraph" w:styleId="6">
    <w:name w:val="index 9"/>
    <w:basedOn w:val="1"/>
    <w:next w:val="1"/>
    <w:qFormat/>
    <w:uiPriority w:val="0"/>
    <w:pPr>
      <w:ind w:left="1600" w:leftChars="1600"/>
    </w:pPr>
  </w:style>
  <w:style w:type="paragraph" w:styleId="7">
    <w:name w:val="Normal (Web)"/>
    <w:basedOn w:val="1"/>
    <w:qFormat/>
    <w:uiPriority w:val="0"/>
    <w:pPr>
      <w:jc w:val="left"/>
    </w:pPr>
    <w:rPr>
      <w:rFonts w:ascii="微软雅黑" w:hAnsi="微软雅黑" w:eastAsia="微软雅黑" w:cs="Times New Roman"/>
      <w:kern w:val="0"/>
      <w:sz w:val="24"/>
    </w:rPr>
  </w:style>
  <w:style w:type="character" w:styleId="10">
    <w:name w:val="Strong"/>
    <w:basedOn w:val="9"/>
    <w:qFormat/>
    <w:uiPriority w:val="0"/>
    <w:rPr>
      <w:b/>
    </w:rPr>
  </w:style>
  <w:style w:type="character" w:styleId="11">
    <w:name w:val="FollowedHyperlink"/>
    <w:basedOn w:val="9"/>
    <w:qFormat/>
    <w:uiPriority w:val="0"/>
    <w:rPr>
      <w:color w:val="333333"/>
      <w:u w:val="none"/>
    </w:rPr>
  </w:style>
  <w:style w:type="character" w:styleId="12">
    <w:name w:val="Emphasis"/>
    <w:basedOn w:val="9"/>
    <w:qFormat/>
    <w:uiPriority w:val="0"/>
    <w:rPr>
      <w:rFonts w:hint="eastAsia" w:ascii="微软雅黑" w:hAnsi="微软雅黑" w:eastAsia="微软雅黑" w:cs="微软雅黑"/>
    </w:rPr>
  </w:style>
  <w:style w:type="character" w:styleId="13">
    <w:name w:val="Hyperlink"/>
    <w:basedOn w:val="9"/>
    <w:qFormat/>
    <w:uiPriority w:val="0"/>
    <w:rPr>
      <w:color w:val="333333"/>
      <w:u w:val="none"/>
    </w:rPr>
  </w:style>
  <w:style w:type="character" w:customStyle="1" w:styleId="14">
    <w:name w:val="after"/>
    <w:basedOn w:val="9"/>
    <w:qFormat/>
    <w:uiPriority w:val="0"/>
    <w:rPr>
      <w:shd w:val="clear" w:color="auto" w:fill="FFFFFF"/>
    </w:rPr>
  </w:style>
  <w:style w:type="character" w:customStyle="1" w:styleId="15">
    <w:name w:val="text"/>
    <w:basedOn w:val="9"/>
    <w:qFormat/>
    <w:uiPriority w:val="0"/>
    <w:rPr>
      <w:color w:val="666666"/>
    </w:rPr>
  </w:style>
  <w:style w:type="character" w:customStyle="1" w:styleId="16">
    <w:name w:val="bsharetext"/>
    <w:basedOn w:val="9"/>
    <w:qFormat/>
    <w:uiPriority w:val="0"/>
  </w:style>
  <w:style w:type="character" w:customStyle="1" w:styleId="17">
    <w:name w:val="last"/>
    <w:basedOn w:val="9"/>
    <w:autoRedefine/>
    <w:qFormat/>
    <w:uiPriority w:val="0"/>
  </w:style>
  <w:style w:type="character" w:customStyle="1" w:styleId="18">
    <w:name w:val="wx-space"/>
    <w:basedOn w:val="9"/>
    <w:autoRedefine/>
    <w:qFormat/>
    <w:uiPriority w:val="0"/>
  </w:style>
  <w:style w:type="character" w:customStyle="1" w:styleId="19">
    <w:name w:val="wx-space1"/>
    <w:basedOn w:val="9"/>
    <w:autoRedefine/>
    <w:qFormat/>
    <w:uiPriority w:val="0"/>
  </w:style>
  <w:style w:type="character" w:customStyle="1" w:styleId="20">
    <w:name w:val="hover20"/>
    <w:basedOn w:val="9"/>
    <w:autoRedefine/>
    <w:qFormat/>
    <w:uiPriority w:val="0"/>
    <w:rPr>
      <w:color w:val="000000"/>
      <w:shd w:val="clear" w:color="auto" w:fill="FFFFFF"/>
    </w:rPr>
  </w:style>
  <w:style w:type="character" w:customStyle="1" w:styleId="21">
    <w:name w:val="line"/>
    <w:basedOn w:val="9"/>
    <w:autoRedefine/>
    <w:qFormat/>
    <w:uiPriority w:val="0"/>
  </w:style>
  <w:style w:type="character" w:customStyle="1" w:styleId="22">
    <w:name w:val="line1"/>
    <w:basedOn w:val="9"/>
    <w:autoRedefine/>
    <w:qFormat/>
    <w:uiPriority w:val="0"/>
  </w:style>
  <w:style w:type="character" w:customStyle="1" w:styleId="23">
    <w:name w:val="hover29"/>
    <w:basedOn w:val="9"/>
    <w:autoRedefine/>
    <w:qFormat/>
    <w:uiPriority w:val="0"/>
    <w:rPr>
      <w:color w:val="000000"/>
      <w:shd w:val="clear" w:color="auto" w:fill="FFFFFF"/>
    </w:rPr>
  </w:style>
  <w:style w:type="character" w:customStyle="1" w:styleId="24">
    <w:name w:val="n3"/>
    <w:basedOn w:val="9"/>
    <w:autoRedefine/>
    <w:qFormat/>
    <w:uiPriority w:val="0"/>
  </w:style>
  <w:style w:type="character" w:customStyle="1" w:styleId="25">
    <w:name w:val="a1"/>
    <w:basedOn w:val="9"/>
    <w:qFormat/>
    <w:uiPriority w:val="0"/>
  </w:style>
  <w:style w:type="character" w:customStyle="1" w:styleId="26">
    <w:name w:val="a2"/>
    <w:basedOn w:val="9"/>
    <w:autoRedefine/>
    <w:qFormat/>
    <w:uiPriority w:val="0"/>
  </w:style>
  <w:style w:type="character" w:customStyle="1" w:styleId="27">
    <w:name w:val="a3"/>
    <w:basedOn w:val="9"/>
    <w:autoRedefine/>
    <w:qFormat/>
    <w:uiPriority w:val="0"/>
  </w:style>
  <w:style w:type="character" w:customStyle="1" w:styleId="28">
    <w:name w:val="a4"/>
    <w:basedOn w:val="9"/>
    <w:qFormat/>
    <w:uiPriority w:val="0"/>
  </w:style>
  <w:style w:type="character" w:customStyle="1" w:styleId="29">
    <w:name w:val="n1"/>
    <w:basedOn w:val="9"/>
    <w:autoRedefine/>
    <w:qFormat/>
    <w:uiPriority w:val="0"/>
  </w:style>
  <w:style w:type="character" w:customStyle="1" w:styleId="30">
    <w:name w:val="n2"/>
    <w:basedOn w:val="9"/>
    <w:autoRedefine/>
    <w:qFormat/>
    <w:uiPriority w:val="0"/>
  </w:style>
  <w:style w:type="character" w:customStyle="1" w:styleId="31">
    <w:name w:val="n4"/>
    <w:basedOn w:val="9"/>
    <w:qFormat/>
    <w:uiPriority w:val="0"/>
  </w:style>
  <w:style w:type="character" w:customStyle="1" w:styleId="32">
    <w:name w:val="n5"/>
    <w:basedOn w:val="9"/>
    <w:autoRedefine/>
    <w:qFormat/>
    <w:uiPriority w:val="0"/>
  </w:style>
  <w:style w:type="character" w:customStyle="1" w:styleId="33">
    <w:name w:val="页眉 字符"/>
    <w:basedOn w:val="9"/>
    <w:link w:val="5"/>
    <w:autoRedefine/>
    <w:qFormat/>
    <w:uiPriority w:val="0"/>
    <w:rPr>
      <w:rFonts w:asciiTheme="minorHAnsi" w:hAnsiTheme="minorHAnsi" w:eastAsiaTheme="minorEastAsia" w:cstheme="minorBidi"/>
      <w:kern w:val="2"/>
      <w:sz w:val="18"/>
      <w:szCs w:val="18"/>
    </w:rPr>
  </w:style>
  <w:style w:type="character" w:customStyle="1" w:styleId="34">
    <w:name w:val="页脚 字符"/>
    <w:basedOn w:val="9"/>
    <w:link w:val="4"/>
    <w:qFormat/>
    <w:uiPriority w:val="0"/>
    <w:rPr>
      <w:rFonts w:asciiTheme="minorHAnsi" w:hAnsiTheme="minorHAnsi" w:eastAsiaTheme="minorEastAsia" w:cstheme="minorBidi"/>
      <w:kern w:val="2"/>
      <w:sz w:val="18"/>
      <w:szCs w:val="18"/>
    </w:rPr>
  </w:style>
  <w:style w:type="character" w:customStyle="1" w:styleId="35">
    <w:name w:val="批注框文本 字符"/>
    <w:basedOn w:val="9"/>
    <w:link w:val="3"/>
    <w:autoRedefine/>
    <w:qFormat/>
    <w:uiPriority w:val="0"/>
    <w:rPr>
      <w:rFonts w:asciiTheme="minorHAnsi" w:hAnsiTheme="minorHAnsi" w:eastAsiaTheme="minorEastAsia" w:cstheme="minorBidi"/>
      <w:kern w:val="2"/>
      <w:sz w:val="18"/>
      <w:szCs w:val="18"/>
    </w:rPr>
  </w:style>
  <w:style w:type="paragraph" w:customStyle="1" w:styleId="36">
    <w:name w:val="样式1"/>
    <w:basedOn w:val="5"/>
    <w:next w:val="6"/>
    <w:autoRedefine/>
    <w:qFormat/>
    <w:uiPriority w:val="0"/>
    <w:rPr>
      <w:rFonts w:ascii="Calibri" w:hAnsi="Calibri" w:eastAsia="仿宋_GB2312" w:cs="Times New Roman"/>
      <w:sz w:val="3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3627</Words>
  <Characters>4248</Characters>
  <Lines>9</Lines>
  <Paragraphs>2</Paragraphs>
  <TotalTime>20</TotalTime>
  <ScaleCrop>false</ScaleCrop>
  <LinksUpToDate>false</LinksUpToDate>
  <CharactersWithSpaces>4278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2021-03-04T06:20:00Z</dcterms:created>
  <dc:creator>Administrator</dc:creator>
  <cp:lastModifiedBy>NN</cp:lastModifiedBy>
  <cp:lastPrinted>2024-09-09T09:22:00Z</cp:lastPrinted>
  <dcterms:modified xsi:type="dcterms:W3CDTF">2025-09-22T03:14:31Z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8FA2F2D9B30047798BF85EBB72537FFA</vt:lpwstr>
  </property>
  <property fmtid="{D5CDD505-2E9C-101B-9397-08002B2CF9AE}" pid="4" name="KSOTemplateDocerSaveRecord">
    <vt:lpwstr>eyJoZGlkIjoiY2IxZmFmMmJlY2MwZjAyMzJhYWZlOTdlNDUxYjk3ZTgiLCJ1c2VySWQiOiI1NjAyNTAwOTQifQ==</vt:lpwstr>
  </property>
</Properties>
</file>